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486F" w14:textId="77777777" w:rsidR="00DF209A" w:rsidRDefault="00DF209A" w:rsidP="00DF20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Republic of Türkiye</w:t>
      </w:r>
    </w:p>
    <w:p w14:paraId="518AC7AE" w14:textId="77777777" w:rsidR="00DF209A" w:rsidRDefault="00DF209A" w:rsidP="00DF20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Ministry of Transport and Infrastructure</w:t>
      </w:r>
    </w:p>
    <w:p w14:paraId="541B33B4" w14:textId="77777777" w:rsidR="00DF209A" w:rsidRPr="00516CB2" w:rsidRDefault="00DF209A" w:rsidP="00DF20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Rail Logistics Improvement Project (RLIP)</w:t>
      </w:r>
    </w:p>
    <w:p w14:paraId="329B63E6" w14:textId="77777777" w:rsidR="00DF209A" w:rsidRPr="00B444C8" w:rsidRDefault="00DF209A" w:rsidP="00DF209A">
      <w:pPr>
        <w:spacing w:after="0" w:line="240" w:lineRule="auto"/>
        <w:jc w:val="center"/>
        <w:rPr>
          <w:rFonts w:ascii="Times New Roman" w:hAnsi="Times New Roman" w:cs="Times New Roman"/>
          <w:b/>
          <w:sz w:val="32"/>
          <w:szCs w:val="24"/>
        </w:rPr>
      </w:pPr>
    </w:p>
    <w:p w14:paraId="0E542A6D" w14:textId="77777777" w:rsidR="00DF209A" w:rsidRDefault="00DF209A" w:rsidP="00DF209A">
      <w:pPr>
        <w:spacing w:after="0" w:line="240" w:lineRule="auto"/>
        <w:jc w:val="center"/>
        <w:rPr>
          <w:rFonts w:ascii="Times New Roman" w:hAnsi="Times New Roman" w:cs="Times New Roman"/>
          <w:b/>
          <w:sz w:val="36"/>
          <w:szCs w:val="28"/>
        </w:rPr>
      </w:pPr>
      <w:r w:rsidRPr="00F47B38">
        <w:rPr>
          <w:rFonts w:ascii="Times New Roman" w:hAnsi="Times New Roman" w:cs="Times New Roman"/>
          <w:b/>
          <w:sz w:val="36"/>
          <w:szCs w:val="28"/>
        </w:rPr>
        <w:t>TERMS OF REFERENCE</w:t>
      </w:r>
    </w:p>
    <w:p w14:paraId="709A491F" w14:textId="7C164961" w:rsidR="00DF209A" w:rsidRDefault="00DF209A" w:rsidP="00DF209A">
      <w:pPr>
        <w:spacing w:after="0" w:line="240" w:lineRule="auto"/>
        <w:jc w:val="center"/>
        <w:rPr>
          <w:rFonts w:ascii="Times New Roman" w:hAnsi="Times New Roman" w:cs="Times New Roman"/>
          <w:b/>
          <w:sz w:val="36"/>
          <w:szCs w:val="28"/>
        </w:rPr>
      </w:pPr>
    </w:p>
    <w:p w14:paraId="76333837" w14:textId="77777777" w:rsidR="00DF209A" w:rsidRDefault="00DF209A" w:rsidP="00DF209A">
      <w:pPr>
        <w:spacing w:after="0" w:line="240" w:lineRule="auto"/>
        <w:jc w:val="center"/>
        <w:rPr>
          <w:rFonts w:ascii="Times New Roman" w:hAnsi="Times New Roman" w:cs="Times New Roman"/>
          <w:b/>
          <w:sz w:val="24"/>
          <w:szCs w:val="20"/>
        </w:rPr>
      </w:pPr>
      <w:r w:rsidRPr="00DF209A">
        <w:rPr>
          <w:rFonts w:ascii="Times New Roman" w:hAnsi="Times New Roman" w:cs="Times New Roman"/>
          <w:b/>
          <w:sz w:val="24"/>
          <w:szCs w:val="20"/>
        </w:rPr>
        <w:t>Consulting Services</w:t>
      </w:r>
      <w:r>
        <w:rPr>
          <w:rFonts w:ascii="Times New Roman" w:hAnsi="Times New Roman" w:cs="Times New Roman"/>
          <w:b/>
          <w:sz w:val="24"/>
          <w:szCs w:val="20"/>
        </w:rPr>
        <w:t xml:space="preserve"> for </w:t>
      </w:r>
      <w:r>
        <w:rPr>
          <w:rFonts w:ascii="Times New Roman" w:hAnsi="Times New Roman" w:cs="Times New Roman"/>
          <w:b/>
          <w:sz w:val="24"/>
          <w:szCs w:val="20"/>
        </w:rPr>
        <w:br/>
      </w:r>
    </w:p>
    <w:p w14:paraId="54CC230C" w14:textId="2E485942" w:rsidR="00DF209A" w:rsidRPr="00DF209A" w:rsidRDefault="0016443C" w:rsidP="00DF209A">
      <w:pPr>
        <w:spacing w:after="0" w:line="240" w:lineRule="auto"/>
        <w:jc w:val="center"/>
        <w:rPr>
          <w:rFonts w:ascii="Times New Roman" w:hAnsi="Times New Roman" w:cs="Times New Roman"/>
          <w:b/>
          <w:sz w:val="24"/>
          <w:szCs w:val="20"/>
        </w:rPr>
      </w:pPr>
      <w:r>
        <w:rPr>
          <w:rFonts w:ascii="Times New Roman" w:hAnsi="Times New Roman" w:cs="Times New Roman"/>
          <w:b/>
          <w:sz w:val="24"/>
          <w:szCs w:val="20"/>
        </w:rPr>
        <w:t>Informing</w:t>
      </w:r>
      <w:r w:rsidR="00DF209A">
        <w:rPr>
          <w:rFonts w:ascii="Times New Roman" w:hAnsi="Times New Roman" w:cs="Times New Roman"/>
          <w:b/>
          <w:sz w:val="24"/>
          <w:szCs w:val="20"/>
        </w:rPr>
        <w:t xml:space="preserve"> </w:t>
      </w:r>
      <w:r>
        <w:rPr>
          <w:rFonts w:ascii="Times New Roman" w:hAnsi="Times New Roman" w:cs="Times New Roman"/>
          <w:b/>
          <w:sz w:val="24"/>
          <w:szCs w:val="20"/>
        </w:rPr>
        <w:t xml:space="preserve">the </w:t>
      </w:r>
      <w:r w:rsidR="00DF209A">
        <w:rPr>
          <w:rFonts w:ascii="Times New Roman" w:hAnsi="Times New Roman" w:cs="Times New Roman"/>
          <w:b/>
          <w:sz w:val="24"/>
          <w:szCs w:val="20"/>
        </w:rPr>
        <w:t>Ministry of Transport and Infrastructure (</w:t>
      </w:r>
      <w:proofErr w:type="spellStart"/>
      <w:r w:rsidR="00DF209A">
        <w:rPr>
          <w:rFonts w:ascii="Times New Roman" w:hAnsi="Times New Roman" w:cs="Times New Roman"/>
          <w:b/>
          <w:sz w:val="24"/>
          <w:szCs w:val="20"/>
        </w:rPr>
        <w:t>MoTI</w:t>
      </w:r>
      <w:proofErr w:type="spellEnd"/>
      <w:r w:rsidR="00DF209A">
        <w:rPr>
          <w:rFonts w:ascii="Times New Roman" w:hAnsi="Times New Roman" w:cs="Times New Roman"/>
          <w:b/>
          <w:sz w:val="24"/>
          <w:szCs w:val="20"/>
        </w:rPr>
        <w:t>)</w:t>
      </w:r>
      <w:r>
        <w:rPr>
          <w:rFonts w:ascii="Times New Roman" w:hAnsi="Times New Roman" w:cs="Times New Roman"/>
          <w:b/>
          <w:sz w:val="24"/>
          <w:szCs w:val="20"/>
        </w:rPr>
        <w:t>’s</w:t>
      </w:r>
      <w:r w:rsidR="00DF209A">
        <w:rPr>
          <w:rFonts w:ascii="Times New Roman" w:hAnsi="Times New Roman" w:cs="Times New Roman"/>
          <w:b/>
          <w:sz w:val="24"/>
          <w:szCs w:val="20"/>
        </w:rPr>
        <w:t xml:space="preserve"> Strategy for Improv</w:t>
      </w:r>
      <w:r>
        <w:rPr>
          <w:rFonts w:ascii="Times New Roman" w:hAnsi="Times New Roman" w:cs="Times New Roman"/>
          <w:b/>
          <w:sz w:val="24"/>
          <w:szCs w:val="20"/>
        </w:rPr>
        <w:t>ing</w:t>
      </w:r>
      <w:r w:rsidR="00DF209A">
        <w:rPr>
          <w:rFonts w:ascii="Times New Roman" w:hAnsi="Times New Roman" w:cs="Times New Roman"/>
          <w:b/>
          <w:sz w:val="24"/>
          <w:szCs w:val="20"/>
        </w:rPr>
        <w:t xml:space="preserve"> Rail Freight Sector Performance</w:t>
      </w:r>
      <w:r>
        <w:rPr>
          <w:rFonts w:ascii="Times New Roman" w:hAnsi="Times New Roman" w:cs="Times New Roman"/>
          <w:b/>
          <w:sz w:val="24"/>
          <w:szCs w:val="20"/>
        </w:rPr>
        <w:t xml:space="preserve"> and the Management of</w:t>
      </w:r>
      <w:r w:rsidR="00DF209A">
        <w:rPr>
          <w:rFonts w:ascii="Times New Roman" w:hAnsi="Times New Roman" w:cs="Times New Roman"/>
          <w:b/>
          <w:sz w:val="24"/>
          <w:szCs w:val="20"/>
        </w:rPr>
        <w:t xml:space="preserve"> Rail-enabled Logistics Centers</w:t>
      </w:r>
    </w:p>
    <w:p w14:paraId="05C589DE" w14:textId="77777777" w:rsidR="00CE71C6" w:rsidRDefault="00CE71C6"/>
    <w:p w14:paraId="2230467A" w14:textId="77777777" w:rsidR="00DF209A" w:rsidRPr="00516CB2" w:rsidRDefault="00DF209A" w:rsidP="00DF209A">
      <w:pPr>
        <w:pStyle w:val="FirstLevel"/>
      </w:pPr>
      <w:r w:rsidRPr="00516CB2">
        <w:t>Introduction and Background</w:t>
      </w:r>
    </w:p>
    <w:p w14:paraId="310C7BEE" w14:textId="77777777" w:rsidR="00DF209A" w:rsidRPr="00910753" w:rsidRDefault="00DF209A" w:rsidP="00DF209A">
      <w:pPr>
        <w:shd w:val="clear" w:color="auto" w:fill="FFFFFF"/>
        <w:spacing w:before="120" w:after="120" w:line="240" w:lineRule="auto"/>
        <w:jc w:val="both"/>
        <w:rPr>
          <w:rFonts w:ascii="Times New Roman" w:eastAsia="Times New Roman" w:hAnsi="Times New Roman" w:cs="Times New Roman"/>
          <w:sz w:val="24"/>
          <w:szCs w:val="24"/>
        </w:rPr>
      </w:pPr>
      <w:r w:rsidRPr="00177C0D">
        <w:rPr>
          <w:rFonts w:ascii="Times New Roman" w:eastAsia="Times New Roman" w:hAnsi="Times New Roman" w:cs="Times New Roman"/>
          <w:color w:val="000000" w:themeColor="text1"/>
          <w:sz w:val="24"/>
          <w:szCs w:val="24"/>
        </w:rPr>
        <w:t xml:space="preserve">The Republic of </w:t>
      </w:r>
      <w:r>
        <w:rPr>
          <w:rFonts w:ascii="Times New Roman" w:eastAsia="Times New Roman" w:hAnsi="Times New Roman" w:cs="Times New Roman"/>
          <w:color w:val="000000" w:themeColor="text1"/>
          <w:sz w:val="24"/>
          <w:szCs w:val="24"/>
        </w:rPr>
        <w:t>Türkiye</w:t>
      </w:r>
      <w:r w:rsidRPr="00177C0D">
        <w:rPr>
          <w:rFonts w:ascii="Times New Roman" w:eastAsia="Times New Roman" w:hAnsi="Times New Roman" w:cs="Times New Roman"/>
          <w:color w:val="000000" w:themeColor="text1"/>
          <w:sz w:val="24"/>
          <w:szCs w:val="24"/>
        </w:rPr>
        <w:t xml:space="preserve"> achieved strong economic and social development performance since 2000, leading to increased employment and incomes. More recently, growing economic vulnerabilities and a more challenging external environment are threatening to undermine these achievements. </w:t>
      </w:r>
      <w:r>
        <w:rPr>
          <w:rFonts w:ascii="Times New Roman" w:eastAsia="Times New Roman" w:hAnsi="Times New Roman" w:cs="Times New Roman"/>
          <w:color w:val="000000" w:themeColor="text1"/>
          <w:sz w:val="24"/>
          <w:szCs w:val="24"/>
        </w:rPr>
        <w:t>Türkiye</w:t>
      </w:r>
      <w:r w:rsidRPr="00177C0D">
        <w:rPr>
          <w:rFonts w:ascii="Times New Roman" w:eastAsia="Times New Roman" w:hAnsi="Times New Roman" w:cs="Times New Roman"/>
          <w:color w:val="000000" w:themeColor="text1"/>
          <w:sz w:val="24"/>
          <w:szCs w:val="24"/>
        </w:rPr>
        <w:t xml:space="preserve"> has maintained a long-term focus on implementing ambitious reforms in many areas, and government programs have targeted vulnerable groups and disadvantaged regions. </w:t>
      </w:r>
      <w:r>
        <w:rPr>
          <w:rFonts w:ascii="Times New Roman" w:eastAsia="Times New Roman" w:hAnsi="Times New Roman" w:cs="Times New Roman"/>
          <w:color w:val="000000" w:themeColor="text1"/>
          <w:sz w:val="24"/>
          <w:szCs w:val="24"/>
        </w:rPr>
        <w:t xml:space="preserve">The </w:t>
      </w:r>
      <w:r w:rsidRPr="00910753">
        <w:rPr>
          <w:rFonts w:ascii="Times New Roman" w:eastAsia="Times New Roman" w:hAnsi="Times New Roman" w:cs="Times New Roman"/>
          <w:sz w:val="24"/>
          <w:szCs w:val="24"/>
        </w:rPr>
        <w:t xml:space="preserve">poverty incidence more than halved over 2002-15, and extreme poverty fell even faster. During this time, </w:t>
      </w:r>
      <w:r>
        <w:rPr>
          <w:rFonts w:ascii="Times New Roman" w:eastAsia="Times New Roman" w:hAnsi="Times New Roman" w:cs="Times New Roman"/>
          <w:sz w:val="24"/>
          <w:szCs w:val="24"/>
        </w:rPr>
        <w:t>Türkiye</w:t>
      </w:r>
      <w:r w:rsidRPr="00910753">
        <w:rPr>
          <w:rFonts w:ascii="Times New Roman" w:eastAsia="Times New Roman" w:hAnsi="Times New Roman" w:cs="Times New Roman"/>
          <w:sz w:val="24"/>
          <w:szCs w:val="24"/>
        </w:rPr>
        <w:t xml:space="preserve"> urbanized dramatically, maintained strong macroeconomic and fiscal policy frameworks, </w:t>
      </w:r>
      <w:proofErr w:type="gramStart"/>
      <w:r w:rsidRPr="00910753">
        <w:rPr>
          <w:rFonts w:ascii="Times New Roman" w:eastAsia="Times New Roman" w:hAnsi="Times New Roman" w:cs="Times New Roman"/>
          <w:sz w:val="24"/>
          <w:szCs w:val="24"/>
        </w:rPr>
        <w:t>opened up</w:t>
      </w:r>
      <w:proofErr w:type="gramEnd"/>
      <w:r w:rsidRPr="00910753">
        <w:rPr>
          <w:rFonts w:ascii="Times New Roman" w:eastAsia="Times New Roman" w:hAnsi="Times New Roman" w:cs="Times New Roman"/>
          <w:sz w:val="24"/>
          <w:szCs w:val="24"/>
        </w:rPr>
        <w:t xml:space="preserve"> to foreign trade and finance, harmonized many laws and regulations with European Union (EU) standards, and greatly expanded access to public services. </w:t>
      </w:r>
    </w:p>
    <w:p w14:paraId="77CD0435" w14:textId="0F9FA5CE" w:rsidR="00025292" w:rsidRDefault="00025292" w:rsidP="00DF209A">
      <w:pPr>
        <w:shd w:val="clear" w:color="auto" w:fill="FFFFFF" w:themeFill="background1"/>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key driver of the Turkish economy is trade. Türkiye is a manufacturer and exporter of systemic importance in several industries, including steel and steel products, construction materials, machinery and equipment, appliances, motor vehicles, apparel, and edibles like pasta. Much of these exports </w:t>
      </w:r>
      <w:r w:rsidR="007F6686">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destined for the </w:t>
      </w:r>
      <w:r w:rsidR="008F207F">
        <w:rPr>
          <w:rFonts w:ascii="Times New Roman" w:eastAsia="Times New Roman" w:hAnsi="Times New Roman" w:cs="Times New Roman"/>
          <w:sz w:val="24"/>
          <w:szCs w:val="24"/>
        </w:rPr>
        <w:t>EU</w:t>
      </w:r>
      <w:r>
        <w:rPr>
          <w:rFonts w:ascii="Times New Roman" w:eastAsia="Times New Roman" w:hAnsi="Times New Roman" w:cs="Times New Roman"/>
          <w:sz w:val="24"/>
          <w:szCs w:val="24"/>
        </w:rPr>
        <w:t xml:space="preserve"> and other long-distance </w:t>
      </w:r>
      <w:r w:rsidR="00E357E0">
        <w:rPr>
          <w:rFonts w:ascii="Times New Roman" w:eastAsia="Times New Roman" w:hAnsi="Times New Roman" w:cs="Times New Roman"/>
          <w:sz w:val="24"/>
          <w:szCs w:val="24"/>
        </w:rPr>
        <w:t>markets and</w:t>
      </w:r>
      <w:r w:rsidR="007F6686">
        <w:rPr>
          <w:rFonts w:ascii="Times New Roman" w:eastAsia="Times New Roman" w:hAnsi="Times New Roman" w:cs="Times New Roman"/>
          <w:sz w:val="24"/>
          <w:szCs w:val="24"/>
        </w:rPr>
        <w:t xml:space="preserve"> are compatible with the use of rail freight in the international experience</w:t>
      </w:r>
      <w:r>
        <w:rPr>
          <w:rFonts w:ascii="Times New Roman" w:eastAsia="Times New Roman" w:hAnsi="Times New Roman" w:cs="Times New Roman"/>
          <w:sz w:val="24"/>
          <w:szCs w:val="24"/>
        </w:rPr>
        <w:t>. In addition</w:t>
      </w:r>
      <w:r w:rsidR="007F6686">
        <w:rPr>
          <w:rFonts w:ascii="Times New Roman" w:eastAsia="Times New Roman" w:hAnsi="Times New Roman" w:cs="Times New Roman"/>
          <w:sz w:val="24"/>
          <w:szCs w:val="24"/>
        </w:rPr>
        <w:t xml:space="preserve">, </w:t>
      </w:r>
      <w:r w:rsidR="00805B05">
        <w:rPr>
          <w:rFonts w:ascii="Times New Roman" w:eastAsia="Times New Roman" w:hAnsi="Times New Roman" w:cs="Times New Roman"/>
          <w:sz w:val="24"/>
          <w:szCs w:val="24"/>
        </w:rPr>
        <w:t>T</w:t>
      </w:r>
      <w:r w:rsidR="007F6686">
        <w:rPr>
          <w:rFonts w:ascii="Times New Roman" w:eastAsia="Times New Roman" w:hAnsi="Times New Roman" w:cs="Times New Roman"/>
          <w:sz w:val="24"/>
          <w:szCs w:val="24"/>
        </w:rPr>
        <w:t xml:space="preserve">ürkiye’s domestic </w:t>
      </w:r>
      <w:r w:rsidR="00F83E03">
        <w:rPr>
          <w:rFonts w:ascii="Times New Roman" w:eastAsia="Times New Roman" w:hAnsi="Times New Roman" w:cs="Times New Roman"/>
          <w:sz w:val="24"/>
          <w:szCs w:val="24"/>
        </w:rPr>
        <w:t xml:space="preserve">trade </w:t>
      </w:r>
      <w:r w:rsidR="00805B05">
        <w:rPr>
          <w:rFonts w:ascii="Times New Roman" w:eastAsia="Times New Roman" w:hAnsi="Times New Roman" w:cs="Times New Roman"/>
          <w:sz w:val="24"/>
          <w:szCs w:val="24"/>
        </w:rPr>
        <w:t>lanes</w:t>
      </w:r>
      <w:r w:rsidR="007F6686">
        <w:rPr>
          <w:rFonts w:ascii="Times New Roman" w:eastAsia="Times New Roman" w:hAnsi="Times New Roman" w:cs="Times New Roman"/>
          <w:sz w:val="24"/>
          <w:szCs w:val="24"/>
        </w:rPr>
        <w:t xml:space="preserve"> and domestic portions of international journeys are often long-haul in nature,</w:t>
      </w:r>
      <w:r w:rsidR="00F83E03">
        <w:rPr>
          <w:rFonts w:ascii="Times New Roman" w:eastAsia="Times New Roman" w:hAnsi="Times New Roman" w:cs="Times New Roman"/>
          <w:sz w:val="24"/>
          <w:szCs w:val="24"/>
        </w:rPr>
        <w:t xml:space="preserve"> given the size of the country and the distances between the main centers of economic activity, such as Istanbul-Adana, Istanbul-Konya, or Istanbul-Mersin. This suggests </w:t>
      </w:r>
      <w:r w:rsidR="00805B05">
        <w:rPr>
          <w:rFonts w:ascii="Times New Roman" w:eastAsia="Times New Roman" w:hAnsi="Times New Roman" w:cs="Times New Roman"/>
          <w:sz w:val="24"/>
          <w:szCs w:val="24"/>
        </w:rPr>
        <w:t>that the</w:t>
      </w:r>
      <w:r w:rsidR="00F83E03">
        <w:rPr>
          <w:rFonts w:ascii="Times New Roman" w:eastAsia="Times New Roman" w:hAnsi="Times New Roman" w:cs="Times New Roman"/>
          <w:sz w:val="24"/>
          <w:szCs w:val="24"/>
        </w:rPr>
        <w:t xml:space="preserve"> Turkish freight transport and logistics market is in-principle highly compatible with the use of rail freight and </w:t>
      </w:r>
      <w:r w:rsidR="00E357E0">
        <w:rPr>
          <w:rFonts w:ascii="Times New Roman" w:eastAsia="Times New Roman" w:hAnsi="Times New Roman" w:cs="Times New Roman"/>
          <w:sz w:val="24"/>
          <w:szCs w:val="24"/>
        </w:rPr>
        <w:t>multimodally connected</w:t>
      </w:r>
      <w:r w:rsidR="00F83E03">
        <w:rPr>
          <w:rFonts w:ascii="Times New Roman" w:eastAsia="Times New Roman" w:hAnsi="Times New Roman" w:cs="Times New Roman"/>
          <w:sz w:val="24"/>
          <w:szCs w:val="24"/>
        </w:rPr>
        <w:t xml:space="preserve"> logistics facilities.</w:t>
      </w:r>
    </w:p>
    <w:p w14:paraId="7C88AEBD" w14:textId="038F54D7" w:rsidR="00A5641F" w:rsidRDefault="00F83E03" w:rsidP="00A5641F">
      <w:pPr>
        <w:shd w:val="clear" w:color="auto" w:fill="FFFFFF" w:themeFill="background1"/>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Yet, </w:t>
      </w:r>
      <w:r w:rsidR="00A5641F">
        <w:rPr>
          <w:rFonts w:ascii="Times New Roman" w:eastAsia="Times New Roman" w:hAnsi="Times New Roman" w:cs="Times New Roman"/>
          <w:sz w:val="24"/>
          <w:szCs w:val="24"/>
        </w:rPr>
        <w:t>Türkiye</w:t>
      </w:r>
      <w:r>
        <w:rPr>
          <w:rFonts w:ascii="Times New Roman" w:eastAsia="Times New Roman" w:hAnsi="Times New Roman" w:cs="Times New Roman"/>
          <w:sz w:val="24"/>
          <w:szCs w:val="24"/>
        </w:rPr>
        <w:t xml:space="preserve"> currently makes scant use </w:t>
      </w:r>
      <w:r w:rsidR="00805B05">
        <w:rPr>
          <w:rFonts w:ascii="Times New Roman" w:eastAsia="Times New Roman" w:hAnsi="Times New Roman" w:cs="Times New Roman"/>
          <w:sz w:val="24"/>
          <w:szCs w:val="24"/>
        </w:rPr>
        <w:t>of rail</w:t>
      </w:r>
      <w:r>
        <w:rPr>
          <w:rFonts w:ascii="Times New Roman" w:eastAsia="Times New Roman" w:hAnsi="Times New Roman" w:cs="Times New Roman"/>
          <w:sz w:val="24"/>
          <w:szCs w:val="24"/>
        </w:rPr>
        <w:t xml:space="preserve"> freight</w:t>
      </w:r>
      <w:r w:rsidR="00A5641F">
        <w:rPr>
          <w:rFonts w:ascii="Times New Roman" w:eastAsia="Times New Roman" w:hAnsi="Times New Roman" w:cs="Times New Roman"/>
          <w:sz w:val="24"/>
          <w:szCs w:val="24"/>
        </w:rPr>
        <w:t xml:space="preserve">, while the trucking sector dominates. </w:t>
      </w:r>
      <w:r w:rsidR="00A5641F" w:rsidRPr="00A5641F">
        <w:rPr>
          <w:rFonts w:ascii="Times New Roman" w:eastAsia="Times New Roman" w:hAnsi="Times New Roman" w:cs="Times New Roman"/>
          <w:sz w:val="24"/>
          <w:szCs w:val="24"/>
        </w:rPr>
        <w:t>Of the 340 billion non-pipeline inland ton-km transported in Türkiye in 2022, 95% took place by truck and only 5% by rail.</w:t>
      </w:r>
      <w:r w:rsidR="00A5641F">
        <w:rPr>
          <w:rFonts w:ascii="Times New Roman" w:eastAsia="Times New Roman" w:hAnsi="Times New Roman" w:cs="Times New Roman"/>
          <w:sz w:val="24"/>
          <w:szCs w:val="24"/>
        </w:rPr>
        <w:t xml:space="preserve"> </w:t>
      </w:r>
      <w:r w:rsidR="00A5641F" w:rsidRPr="00A5641F">
        <w:rPr>
          <w:rFonts w:ascii="Times New Roman" w:eastAsia="Times New Roman" w:hAnsi="Times New Roman" w:cs="Times New Roman"/>
          <w:sz w:val="24"/>
          <w:szCs w:val="24"/>
        </w:rPr>
        <w:t xml:space="preserve">That is well below the rail freight market share of other upper middle-income countries of similar commodity mix and length-of-haul profile as Türkiye, such as South Africa (37%), China (29%), Mexico (25%), and Brazil (20%). It is also less than a third of that of the EU (17%), and one-seventh that of the U.S. (34%). A similar imbalance applies to the way Türkiye’s foreign trade flows are transported: in 2022 56% of its trade by value used maritime ports as entry-exit gateways, yet only 16 of 71 main ports (and 210 total ports) are rail-enabled; 34% used road border crossings; 10% used airports; and less than 1% used railway border crossings. </w:t>
      </w:r>
    </w:p>
    <w:p w14:paraId="7E7D81D1" w14:textId="20FF7CFC" w:rsidR="00A5641F" w:rsidRPr="00A5641F" w:rsidRDefault="00A5641F" w:rsidP="00A5641F">
      <w:pPr>
        <w:shd w:val="clear" w:color="auto" w:fill="FFFFFF" w:themeFill="background1"/>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being costly to shippers in terms of avoidable logistics costs, this</w:t>
      </w:r>
      <w:r w:rsidR="00805B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inconsistent with </w:t>
      </w:r>
      <w:r w:rsidR="00DE217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Government of Türkiye’s (</w:t>
      </w:r>
      <w:proofErr w:type="spellStart"/>
      <w:r>
        <w:rPr>
          <w:rFonts w:ascii="Times New Roman" w:eastAsia="Times New Roman" w:hAnsi="Times New Roman" w:cs="Times New Roman"/>
          <w:sz w:val="24"/>
          <w:szCs w:val="24"/>
        </w:rPr>
        <w:t>GoT</w:t>
      </w:r>
      <w:proofErr w:type="spellEnd"/>
      <w:r>
        <w:rPr>
          <w:rFonts w:ascii="Times New Roman" w:eastAsia="Times New Roman" w:hAnsi="Times New Roman" w:cs="Times New Roman"/>
          <w:sz w:val="24"/>
          <w:szCs w:val="24"/>
        </w:rPr>
        <w:t>) policy goals in transportation</w:t>
      </w:r>
      <w:r w:rsidR="00805B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logistics</w:t>
      </w:r>
      <w:r w:rsidR="00805B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decarbonization. </w:t>
      </w:r>
      <w:r>
        <w:rPr>
          <w:rFonts w:ascii="Times New Roman" w:eastAsia="Times New Roman" w:hAnsi="Times New Roman" w:cs="Times New Roman"/>
          <w:sz w:val="24"/>
          <w:szCs w:val="24"/>
        </w:rPr>
        <w:lastRenderedPageBreak/>
        <w:t xml:space="preserve">For example, under its 2053 Transport and Logistics Masterplan, the </w:t>
      </w:r>
      <w:proofErr w:type="spellStart"/>
      <w:r>
        <w:rPr>
          <w:rFonts w:ascii="Times New Roman" w:eastAsia="Times New Roman" w:hAnsi="Times New Roman" w:cs="Times New Roman"/>
          <w:sz w:val="24"/>
          <w:szCs w:val="24"/>
        </w:rPr>
        <w:t>GoT</w:t>
      </w:r>
      <w:proofErr w:type="spellEnd"/>
      <w:r>
        <w:rPr>
          <w:rFonts w:ascii="Times New Roman" w:eastAsia="Times New Roman" w:hAnsi="Times New Roman" w:cs="Times New Roman"/>
          <w:sz w:val="24"/>
          <w:szCs w:val="24"/>
        </w:rPr>
        <w:t xml:space="preserve"> aspires to more than quadruple the share of rail freight in the national freight transport task, to 22%, by 2053. Under its Updated Nationally Determined Contributions, Türkiye aims to </w:t>
      </w:r>
      <w:r w:rsidRPr="00A5641F">
        <w:rPr>
          <w:rFonts w:ascii="Times New Roman" w:eastAsia="Times New Roman" w:hAnsi="Times New Roman" w:cs="Times New Roman"/>
          <w:sz w:val="24"/>
          <w:szCs w:val="24"/>
        </w:rPr>
        <w:t xml:space="preserve">reduce </w:t>
      </w:r>
      <w:r w:rsidR="00805B05">
        <w:rPr>
          <w:rFonts w:ascii="Times New Roman" w:eastAsia="Times New Roman" w:hAnsi="Times New Roman" w:cs="Times New Roman"/>
          <w:sz w:val="24"/>
          <w:szCs w:val="24"/>
        </w:rPr>
        <w:t>greenhouse gas (</w:t>
      </w:r>
      <w:r w:rsidRPr="00A5641F">
        <w:rPr>
          <w:rFonts w:ascii="Times New Roman" w:eastAsia="Times New Roman" w:hAnsi="Times New Roman" w:cs="Times New Roman"/>
          <w:sz w:val="24"/>
          <w:szCs w:val="24"/>
        </w:rPr>
        <w:t>GHG</w:t>
      </w:r>
      <w:r w:rsidR="00805B05">
        <w:rPr>
          <w:rFonts w:ascii="Times New Roman" w:eastAsia="Times New Roman" w:hAnsi="Times New Roman" w:cs="Times New Roman"/>
          <w:sz w:val="24"/>
          <w:szCs w:val="24"/>
        </w:rPr>
        <w:t>)</w:t>
      </w:r>
      <w:r w:rsidRPr="00A5641F">
        <w:rPr>
          <w:rFonts w:ascii="Times New Roman" w:eastAsia="Times New Roman" w:hAnsi="Times New Roman" w:cs="Times New Roman"/>
          <w:sz w:val="24"/>
          <w:szCs w:val="24"/>
        </w:rPr>
        <w:t xml:space="preserve"> emissions by 41% by 2030 compared to 2012 levels</w:t>
      </w:r>
      <w:r>
        <w:rPr>
          <w:rFonts w:ascii="Times New Roman" w:eastAsia="Times New Roman" w:hAnsi="Times New Roman" w:cs="Times New Roman"/>
          <w:sz w:val="24"/>
          <w:szCs w:val="24"/>
        </w:rPr>
        <w:t xml:space="preserve">, and to reach a net-zero economy by 2053. </w:t>
      </w:r>
      <w:r w:rsidR="00805B0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hese targets </w:t>
      </w:r>
      <w:r w:rsidR="00805B05">
        <w:rPr>
          <w:rFonts w:ascii="Times New Roman" w:eastAsia="Times New Roman" w:hAnsi="Times New Roman" w:cs="Times New Roman"/>
          <w:sz w:val="24"/>
          <w:szCs w:val="24"/>
        </w:rPr>
        <w:t>are un</w:t>
      </w:r>
      <w:r>
        <w:rPr>
          <w:rFonts w:ascii="Times New Roman" w:eastAsia="Times New Roman" w:hAnsi="Times New Roman" w:cs="Times New Roman"/>
          <w:sz w:val="24"/>
          <w:szCs w:val="24"/>
        </w:rPr>
        <w:t xml:space="preserve">attainable without a better performing rail freight sector, for which public, public-private, and </w:t>
      </w:r>
      <w:r w:rsidR="00E357E0">
        <w:rPr>
          <w:rFonts w:ascii="Times New Roman" w:eastAsia="Times New Roman" w:hAnsi="Times New Roman" w:cs="Times New Roman"/>
          <w:sz w:val="24"/>
          <w:szCs w:val="24"/>
        </w:rPr>
        <w:t>purely private</w:t>
      </w:r>
      <w:r>
        <w:rPr>
          <w:rFonts w:ascii="Times New Roman" w:eastAsia="Times New Roman" w:hAnsi="Times New Roman" w:cs="Times New Roman"/>
          <w:sz w:val="24"/>
          <w:szCs w:val="24"/>
        </w:rPr>
        <w:t xml:space="preserve"> action will be needed, consistently, over the short</w:t>
      </w:r>
      <w:r w:rsidR="00805B05">
        <w:rPr>
          <w:rFonts w:ascii="Times New Roman" w:eastAsia="Times New Roman" w:hAnsi="Times New Roman" w:cs="Times New Roman"/>
          <w:sz w:val="24"/>
          <w:szCs w:val="24"/>
        </w:rPr>
        <w:t>-</w:t>
      </w:r>
      <w:r>
        <w:rPr>
          <w:rFonts w:ascii="Times New Roman" w:eastAsia="Times New Roman" w:hAnsi="Times New Roman" w:cs="Times New Roman"/>
          <w:sz w:val="24"/>
          <w:szCs w:val="24"/>
        </w:rPr>
        <w:t>, medium</w:t>
      </w:r>
      <w:r w:rsidR="00805B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long-term </w:t>
      </w:r>
      <w:r w:rsidR="00DE2174">
        <w:rPr>
          <w:rFonts w:ascii="Times New Roman" w:eastAsia="Times New Roman" w:hAnsi="Times New Roman" w:cs="Times New Roman"/>
          <w:sz w:val="24"/>
          <w:szCs w:val="24"/>
        </w:rPr>
        <w:t>through at least</w:t>
      </w:r>
      <w:r>
        <w:rPr>
          <w:rFonts w:ascii="Times New Roman" w:eastAsia="Times New Roman" w:hAnsi="Times New Roman" w:cs="Times New Roman"/>
          <w:sz w:val="24"/>
          <w:szCs w:val="24"/>
        </w:rPr>
        <w:t xml:space="preserve"> </w:t>
      </w:r>
      <w:r w:rsidR="00DE2174">
        <w:rPr>
          <w:rFonts w:ascii="Times New Roman" w:eastAsia="Times New Roman" w:hAnsi="Times New Roman" w:cs="Times New Roman"/>
          <w:sz w:val="24"/>
          <w:szCs w:val="24"/>
        </w:rPr>
        <w:t>2053</w:t>
      </w:r>
      <w:r>
        <w:rPr>
          <w:rFonts w:ascii="Times New Roman" w:eastAsia="Times New Roman" w:hAnsi="Times New Roman" w:cs="Times New Roman"/>
          <w:sz w:val="24"/>
          <w:szCs w:val="24"/>
        </w:rPr>
        <w:t>.</w:t>
      </w:r>
      <w:r w:rsidRPr="00A5641F">
        <w:rPr>
          <w:rFonts w:ascii="Times New Roman" w:eastAsia="Times New Roman" w:hAnsi="Times New Roman" w:cs="Times New Roman"/>
          <w:sz w:val="24"/>
          <w:szCs w:val="24"/>
        </w:rPr>
        <w:t xml:space="preserve"> </w:t>
      </w:r>
    </w:p>
    <w:p w14:paraId="4446E4A5" w14:textId="08B50660" w:rsidR="00C8196A" w:rsidRDefault="00A5641F" w:rsidP="00A5641F">
      <w:pPr>
        <w:shd w:val="clear" w:color="auto" w:fill="FFFFFF" w:themeFill="background1"/>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w:t>
      </w:r>
      <w:r w:rsidR="00805B05">
        <w:rPr>
          <w:rFonts w:ascii="Times New Roman" w:eastAsia="Times New Roman" w:hAnsi="Times New Roman" w:cs="Times New Roman"/>
          <w:sz w:val="24"/>
          <w:szCs w:val="24"/>
        </w:rPr>
        <w:t>other</w:t>
      </w:r>
      <w:r>
        <w:rPr>
          <w:rFonts w:ascii="Times New Roman" w:eastAsia="Times New Roman" w:hAnsi="Times New Roman" w:cs="Times New Roman"/>
          <w:sz w:val="24"/>
          <w:szCs w:val="24"/>
        </w:rPr>
        <w:t xml:space="preserve"> policy measures, the international experience, particularly in Europe, </w:t>
      </w:r>
      <w:r w:rsidR="00805B05">
        <w:rPr>
          <w:rFonts w:ascii="Times New Roman" w:eastAsia="Times New Roman" w:hAnsi="Times New Roman" w:cs="Times New Roman"/>
          <w:sz w:val="24"/>
          <w:szCs w:val="24"/>
        </w:rPr>
        <w:t>shows</w:t>
      </w:r>
      <w:r>
        <w:rPr>
          <w:rFonts w:ascii="Times New Roman" w:eastAsia="Times New Roman" w:hAnsi="Times New Roman" w:cs="Times New Roman"/>
          <w:sz w:val="24"/>
          <w:szCs w:val="24"/>
        </w:rPr>
        <w:t xml:space="preserve"> that one particularly effective way of growing rail freight markets and eliciting </w:t>
      </w:r>
      <w:r w:rsidR="00DE2174">
        <w:rPr>
          <w:rFonts w:ascii="Times New Roman" w:eastAsia="Times New Roman" w:hAnsi="Times New Roman" w:cs="Times New Roman"/>
          <w:sz w:val="24"/>
          <w:szCs w:val="24"/>
        </w:rPr>
        <w:t xml:space="preserve">truck-to-rail </w:t>
      </w:r>
      <w:r>
        <w:rPr>
          <w:rFonts w:ascii="Times New Roman" w:eastAsia="Times New Roman" w:hAnsi="Times New Roman" w:cs="Times New Roman"/>
          <w:sz w:val="24"/>
          <w:szCs w:val="24"/>
        </w:rPr>
        <w:t xml:space="preserve">modal shift is by developing well-performing, market- and service-oriented logistics centers connected to the road and railway network at the last mile. The Turkish experience with this policy lever is mixed. While some private investment in integrated logistics centers is ongoing, most rail-enabled logistics centers around the country are owned and operated by the national railway infrastructure manager Turkish State Railways (TCDD). These </w:t>
      </w:r>
      <w:r w:rsidR="00E357E0">
        <w:rPr>
          <w:rFonts w:ascii="Times New Roman" w:eastAsia="Times New Roman" w:hAnsi="Times New Roman" w:cs="Times New Roman"/>
          <w:sz w:val="24"/>
          <w:szCs w:val="24"/>
        </w:rPr>
        <w:t xml:space="preserve">facilities, </w:t>
      </w:r>
      <w:r w:rsidR="00C8196A">
        <w:rPr>
          <w:rFonts w:ascii="Times New Roman" w:eastAsia="Times New Roman" w:hAnsi="Times New Roman" w:cs="Times New Roman"/>
          <w:sz w:val="24"/>
          <w:szCs w:val="24"/>
        </w:rPr>
        <w:t>of which approximately 12 are currently operational, with an additional 6 planned in the near term</w:t>
      </w:r>
      <w:r w:rsidR="00954B7A">
        <w:rPr>
          <w:rFonts w:ascii="Times New Roman" w:eastAsia="Times New Roman" w:hAnsi="Times New Roman" w:cs="Times New Roman"/>
          <w:sz w:val="24"/>
          <w:szCs w:val="24"/>
        </w:rPr>
        <w:t>—</w:t>
      </w:r>
      <w:r w:rsidR="00C8196A">
        <w:rPr>
          <w:rFonts w:ascii="Times New Roman" w:eastAsia="Times New Roman" w:hAnsi="Times New Roman" w:cs="Times New Roman"/>
          <w:sz w:val="24"/>
          <w:szCs w:val="24"/>
        </w:rPr>
        <w:t>remain</w:t>
      </w:r>
      <w:r w:rsidR="00954B7A">
        <w:rPr>
          <w:rFonts w:ascii="Times New Roman" w:eastAsia="Times New Roman" w:hAnsi="Times New Roman" w:cs="Times New Roman"/>
          <w:sz w:val="24"/>
          <w:szCs w:val="24"/>
        </w:rPr>
        <w:t xml:space="preserve"> generally </w:t>
      </w:r>
      <w:r w:rsidR="00E357E0">
        <w:rPr>
          <w:rFonts w:ascii="Times New Roman" w:eastAsia="Times New Roman" w:hAnsi="Times New Roman" w:cs="Times New Roman"/>
          <w:sz w:val="24"/>
          <w:szCs w:val="24"/>
        </w:rPr>
        <w:t>under-utilized and</w:t>
      </w:r>
      <w:r w:rsidR="00C8196A">
        <w:rPr>
          <w:rFonts w:ascii="Times New Roman" w:eastAsia="Times New Roman" w:hAnsi="Times New Roman" w:cs="Times New Roman"/>
          <w:sz w:val="24"/>
          <w:szCs w:val="24"/>
        </w:rPr>
        <w:t xml:space="preserve"> have not been successful in facilitating modal shift or rail freight market growth at a pace consistent with </w:t>
      </w:r>
      <w:proofErr w:type="spellStart"/>
      <w:r w:rsidR="00C8196A">
        <w:rPr>
          <w:rFonts w:ascii="Times New Roman" w:eastAsia="Times New Roman" w:hAnsi="Times New Roman" w:cs="Times New Roman"/>
          <w:sz w:val="24"/>
          <w:szCs w:val="24"/>
        </w:rPr>
        <w:t>GoT</w:t>
      </w:r>
      <w:proofErr w:type="spellEnd"/>
      <w:r w:rsidR="00C8196A">
        <w:rPr>
          <w:rFonts w:ascii="Times New Roman" w:eastAsia="Times New Roman" w:hAnsi="Times New Roman" w:cs="Times New Roman"/>
          <w:sz w:val="24"/>
          <w:szCs w:val="24"/>
        </w:rPr>
        <w:t xml:space="preserve"> priorities</w:t>
      </w:r>
      <w:r w:rsidR="00954B7A">
        <w:rPr>
          <w:rFonts w:ascii="Times New Roman" w:eastAsia="Times New Roman" w:hAnsi="Times New Roman" w:cs="Times New Roman"/>
          <w:sz w:val="24"/>
          <w:szCs w:val="24"/>
        </w:rPr>
        <w:t>—</w:t>
      </w:r>
      <w:r w:rsidR="00C8196A">
        <w:rPr>
          <w:rFonts w:ascii="Times New Roman" w:eastAsia="Times New Roman" w:hAnsi="Times New Roman" w:cs="Times New Roman"/>
          <w:sz w:val="24"/>
          <w:szCs w:val="24"/>
        </w:rPr>
        <w:t xml:space="preserve">and private sector needs. The </w:t>
      </w:r>
      <w:proofErr w:type="spellStart"/>
      <w:r w:rsidR="00C8196A">
        <w:rPr>
          <w:rFonts w:ascii="Times New Roman" w:eastAsia="Times New Roman" w:hAnsi="Times New Roman" w:cs="Times New Roman"/>
          <w:sz w:val="24"/>
          <w:szCs w:val="24"/>
        </w:rPr>
        <w:t>GoT</w:t>
      </w:r>
      <w:proofErr w:type="spellEnd"/>
      <w:r w:rsidR="00C8196A">
        <w:rPr>
          <w:rFonts w:ascii="Times New Roman" w:eastAsia="Times New Roman" w:hAnsi="Times New Roman" w:cs="Times New Roman"/>
          <w:sz w:val="24"/>
          <w:szCs w:val="24"/>
        </w:rPr>
        <w:t xml:space="preserve"> is therefore interested in considering options to reassess the operating and management model of TCDD-operated logistics centers to make them </w:t>
      </w:r>
      <w:r w:rsidR="00954B7A">
        <w:rPr>
          <w:rFonts w:ascii="Times New Roman" w:eastAsia="Times New Roman" w:hAnsi="Times New Roman" w:cs="Times New Roman"/>
          <w:sz w:val="24"/>
          <w:szCs w:val="24"/>
        </w:rPr>
        <w:t>a</w:t>
      </w:r>
      <w:r w:rsidR="00C8196A">
        <w:rPr>
          <w:rFonts w:ascii="Times New Roman" w:eastAsia="Times New Roman" w:hAnsi="Times New Roman" w:cs="Times New Roman"/>
          <w:sz w:val="24"/>
          <w:szCs w:val="24"/>
        </w:rPr>
        <w:t xml:space="preserve"> more effective component of its rail freight </w:t>
      </w:r>
      <w:r w:rsidR="00954B7A">
        <w:rPr>
          <w:rFonts w:ascii="Times New Roman" w:eastAsia="Times New Roman" w:hAnsi="Times New Roman" w:cs="Times New Roman"/>
          <w:sz w:val="24"/>
          <w:szCs w:val="24"/>
        </w:rPr>
        <w:t>and logistics</w:t>
      </w:r>
      <w:r w:rsidR="00C8196A">
        <w:rPr>
          <w:rFonts w:ascii="Times New Roman" w:eastAsia="Times New Roman" w:hAnsi="Times New Roman" w:cs="Times New Roman"/>
          <w:sz w:val="24"/>
          <w:szCs w:val="24"/>
        </w:rPr>
        <w:t xml:space="preserve"> strategy.</w:t>
      </w:r>
      <w:r w:rsidR="00954B7A">
        <w:rPr>
          <w:rFonts w:ascii="Times New Roman" w:eastAsia="Times New Roman" w:hAnsi="Times New Roman" w:cs="Times New Roman"/>
          <w:sz w:val="24"/>
          <w:szCs w:val="24"/>
        </w:rPr>
        <w:t xml:space="preserve"> </w:t>
      </w:r>
    </w:p>
    <w:p w14:paraId="7EF8463D" w14:textId="6E6A01EE" w:rsidR="00C8196A" w:rsidRDefault="00C8196A" w:rsidP="00A5641F">
      <w:pPr>
        <w:shd w:val="clear" w:color="auto" w:fill="FFFFFF" w:themeFill="background1"/>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Türkiye is home to multiple international/intercontinental trade corridors that are or can be served by rail. This includes the Trans-Caspian Middle Corridor (MC), the proposed Iraq Development Road (IDR) corridor, and the Türkiye-EU trade corridor. These markets can potentially bring significant volumes</w:t>
      </w:r>
      <w:r w:rsidR="00954B7A">
        <w:rPr>
          <w:rFonts w:ascii="Times New Roman" w:eastAsia="Times New Roman" w:hAnsi="Times New Roman" w:cs="Times New Roman"/>
          <w:sz w:val="24"/>
          <w:szCs w:val="24"/>
        </w:rPr>
        <w:t>—</w:t>
      </w:r>
      <w:r>
        <w:rPr>
          <w:rFonts w:ascii="Times New Roman" w:eastAsia="Times New Roman" w:hAnsi="Times New Roman" w:cs="Times New Roman"/>
          <w:sz w:val="24"/>
          <w:szCs w:val="24"/>
        </w:rPr>
        <w:t>both own import-export as well as transit volumes</w:t>
      </w:r>
      <w:r w:rsidR="00954B7A">
        <w:rPr>
          <w:rFonts w:ascii="Times New Roman" w:eastAsia="Times New Roman" w:hAnsi="Times New Roman" w:cs="Times New Roman"/>
          <w:sz w:val="24"/>
          <w:szCs w:val="24"/>
        </w:rPr>
        <w:t>—</w:t>
      </w:r>
      <w:r>
        <w:rPr>
          <w:rFonts w:ascii="Times New Roman" w:eastAsia="Times New Roman" w:hAnsi="Times New Roman" w:cs="Times New Roman"/>
          <w:sz w:val="24"/>
          <w:szCs w:val="24"/>
        </w:rPr>
        <w:t>to Türkiye’s railway network, thereby making key infrastructure investments viable</w:t>
      </w:r>
      <w:r w:rsidR="00954B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making it more attractive for private railway undertakings and other logistics service providers, including logistics center operators, to enter the Turkish freight market. </w:t>
      </w:r>
    </w:p>
    <w:p w14:paraId="5BF4AD73" w14:textId="4CD32D03" w:rsidR="00F83E03" w:rsidRPr="00954B7A" w:rsidRDefault="00C8196A" w:rsidP="00E45611">
      <w:pPr>
        <w:shd w:val="clear" w:color="auto" w:fill="FFFFFF" w:themeFill="background1"/>
        <w:spacing w:before="120"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954B7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combination of policy commitment </w:t>
      </w:r>
      <w:r w:rsidR="00954B7A">
        <w:rPr>
          <w:rFonts w:ascii="Times New Roman" w:eastAsia="Times New Roman" w:hAnsi="Times New Roman" w:cs="Times New Roman"/>
          <w:sz w:val="24"/>
          <w:szCs w:val="24"/>
        </w:rPr>
        <w:t xml:space="preserve">and performance targets </w:t>
      </w:r>
      <w:r>
        <w:rPr>
          <w:rFonts w:ascii="Times New Roman" w:eastAsia="Times New Roman" w:hAnsi="Times New Roman" w:cs="Times New Roman"/>
          <w:sz w:val="24"/>
          <w:szCs w:val="24"/>
        </w:rPr>
        <w:t xml:space="preserve">by the </w:t>
      </w:r>
      <w:proofErr w:type="spellStart"/>
      <w:r>
        <w:rPr>
          <w:rFonts w:ascii="Times New Roman" w:eastAsia="Times New Roman" w:hAnsi="Times New Roman" w:cs="Times New Roman"/>
          <w:sz w:val="24"/>
          <w:szCs w:val="24"/>
        </w:rPr>
        <w:t>GoT</w:t>
      </w:r>
      <w:proofErr w:type="spellEnd"/>
      <w:r>
        <w:rPr>
          <w:rFonts w:ascii="Times New Roman" w:eastAsia="Times New Roman" w:hAnsi="Times New Roman" w:cs="Times New Roman"/>
          <w:sz w:val="24"/>
          <w:szCs w:val="24"/>
        </w:rPr>
        <w:t xml:space="preserve"> with </w:t>
      </w:r>
      <w:r w:rsidR="00954B7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rail-compatible underlying import-export</w:t>
      </w:r>
      <w:r w:rsidR="00954B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domestic</w:t>
      </w:r>
      <w:r w:rsidR="00954B7A">
        <w:rPr>
          <w:rFonts w:ascii="Times New Roman" w:eastAsia="Times New Roman" w:hAnsi="Times New Roman" w:cs="Times New Roman"/>
          <w:sz w:val="24"/>
          <w:szCs w:val="24"/>
        </w:rPr>
        <w:t>, and transit</w:t>
      </w:r>
      <w:r>
        <w:rPr>
          <w:rFonts w:ascii="Times New Roman" w:eastAsia="Times New Roman" w:hAnsi="Times New Roman" w:cs="Times New Roman"/>
          <w:sz w:val="24"/>
          <w:szCs w:val="24"/>
        </w:rPr>
        <w:t xml:space="preserve"> market provides a highly advantageous context in which to improve the performance of Türkiye’s rail freight sector, including the operation of logistics centers. </w:t>
      </w:r>
      <w:r w:rsidR="00DE2174">
        <w:rPr>
          <w:rFonts w:ascii="Times New Roman" w:eastAsia="Times New Roman" w:hAnsi="Times New Roman" w:cs="Times New Roman"/>
          <w:sz w:val="24"/>
          <w:szCs w:val="24"/>
        </w:rPr>
        <w:t>This is a</w:t>
      </w:r>
      <w:r w:rsidR="00954B7A">
        <w:rPr>
          <w:rFonts w:ascii="Times New Roman" w:eastAsia="Times New Roman" w:hAnsi="Times New Roman" w:cs="Times New Roman"/>
          <w:sz w:val="24"/>
          <w:szCs w:val="24"/>
        </w:rPr>
        <w:t xml:space="preserve"> high policy priority</w:t>
      </w:r>
      <w:r w:rsidR="00DE2174">
        <w:rPr>
          <w:rFonts w:ascii="Times New Roman" w:eastAsia="Times New Roman" w:hAnsi="Times New Roman" w:cs="Times New Roman"/>
          <w:sz w:val="24"/>
          <w:szCs w:val="24"/>
        </w:rPr>
        <w:t xml:space="preserve"> for the </w:t>
      </w:r>
      <w:proofErr w:type="spellStart"/>
      <w:r w:rsidR="00DE2174">
        <w:rPr>
          <w:rFonts w:ascii="Times New Roman" w:eastAsia="Times New Roman" w:hAnsi="Times New Roman" w:cs="Times New Roman"/>
          <w:sz w:val="24"/>
          <w:szCs w:val="24"/>
        </w:rPr>
        <w:t>GoT</w:t>
      </w:r>
      <w:proofErr w:type="spellEnd"/>
      <w:r w:rsidR="00954B7A">
        <w:rPr>
          <w:rFonts w:ascii="Times New Roman" w:eastAsia="Times New Roman" w:hAnsi="Times New Roman" w:cs="Times New Roman"/>
          <w:sz w:val="24"/>
          <w:szCs w:val="24"/>
        </w:rPr>
        <w:t xml:space="preserve">, considering the current </w:t>
      </w:r>
      <w:r>
        <w:rPr>
          <w:rFonts w:ascii="Times New Roman" w:eastAsia="Times New Roman" w:hAnsi="Times New Roman" w:cs="Times New Roman"/>
          <w:sz w:val="24"/>
          <w:szCs w:val="24"/>
        </w:rPr>
        <w:t>low incidence of rail freight in Türkiye’s freight transport task</w:t>
      </w:r>
      <w:r w:rsidR="00DE2174">
        <w:rPr>
          <w:rFonts w:ascii="Times New Roman" w:eastAsia="Times New Roman" w:hAnsi="Times New Roman" w:cs="Times New Roman"/>
          <w:sz w:val="24"/>
          <w:szCs w:val="24"/>
        </w:rPr>
        <w:t xml:space="preserve"> and the limited private sector participation in the sector to date</w:t>
      </w:r>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GoT</w:t>
      </w:r>
      <w:proofErr w:type="spellEnd"/>
      <w:r>
        <w:rPr>
          <w:rFonts w:ascii="Times New Roman" w:eastAsia="Times New Roman" w:hAnsi="Times New Roman" w:cs="Times New Roman"/>
          <w:sz w:val="24"/>
          <w:szCs w:val="24"/>
        </w:rPr>
        <w:t xml:space="preserve"> is interested in exploring policy and investment options that can </w:t>
      </w:r>
      <w:r w:rsidR="00954B7A">
        <w:rPr>
          <w:rFonts w:ascii="Times New Roman" w:eastAsia="Times New Roman" w:hAnsi="Times New Roman" w:cs="Times New Roman"/>
          <w:sz w:val="24"/>
          <w:szCs w:val="24"/>
        </w:rPr>
        <w:t>help realize its</w:t>
      </w:r>
      <w:r>
        <w:rPr>
          <w:rFonts w:ascii="Times New Roman" w:eastAsia="Times New Roman" w:hAnsi="Times New Roman" w:cs="Times New Roman"/>
          <w:sz w:val="24"/>
          <w:szCs w:val="24"/>
        </w:rPr>
        <w:t xml:space="preserve"> rail freight and multimodal logistics </w:t>
      </w:r>
      <w:r w:rsidR="00954B7A">
        <w:rPr>
          <w:rFonts w:ascii="Times New Roman" w:eastAsia="Times New Roman" w:hAnsi="Times New Roman" w:cs="Times New Roman"/>
          <w:sz w:val="24"/>
          <w:szCs w:val="24"/>
        </w:rPr>
        <w:t>potential</w:t>
      </w:r>
      <w:r w:rsidR="00DE2174">
        <w:rPr>
          <w:rFonts w:ascii="Times New Roman" w:eastAsia="Times New Roman" w:hAnsi="Times New Roman" w:cs="Times New Roman"/>
          <w:sz w:val="24"/>
          <w:szCs w:val="24"/>
        </w:rPr>
        <w:t>, including through greater private sector participation in service delivery and infrastructure provision</w:t>
      </w:r>
      <w:r>
        <w:rPr>
          <w:rFonts w:ascii="Times New Roman" w:eastAsia="Times New Roman" w:hAnsi="Times New Roman" w:cs="Times New Roman"/>
          <w:sz w:val="24"/>
          <w:szCs w:val="24"/>
        </w:rPr>
        <w:t>.</w:t>
      </w:r>
      <w:r w:rsidR="00A5641F" w:rsidRPr="00A564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consulting services are </w:t>
      </w:r>
      <w:r w:rsidRPr="00954B7A">
        <w:rPr>
          <w:rFonts w:ascii="Times New Roman" w:eastAsia="Times New Roman" w:hAnsi="Times New Roman" w:cs="Times New Roman"/>
          <w:sz w:val="24"/>
          <w:szCs w:val="24"/>
        </w:rPr>
        <w:t>intended t</w:t>
      </w:r>
      <w:r w:rsidR="00E45611" w:rsidRPr="00954B7A">
        <w:rPr>
          <w:rFonts w:ascii="Times New Roman" w:eastAsia="Times New Roman" w:hAnsi="Times New Roman" w:cs="Times New Roman"/>
          <w:sz w:val="24"/>
          <w:szCs w:val="24"/>
        </w:rPr>
        <w:t>o support this goal</w:t>
      </w:r>
      <w:r w:rsidR="00954B7A" w:rsidRPr="00954B7A">
        <w:rPr>
          <w:rFonts w:ascii="Times New Roman" w:eastAsia="Times New Roman" w:hAnsi="Times New Roman" w:cs="Times New Roman"/>
          <w:sz w:val="24"/>
          <w:szCs w:val="24"/>
        </w:rPr>
        <w:t>,</w:t>
      </w:r>
      <w:r w:rsidR="00E45611" w:rsidRPr="00954B7A">
        <w:rPr>
          <w:rFonts w:ascii="Times New Roman" w:eastAsia="Times New Roman" w:hAnsi="Times New Roman" w:cs="Times New Roman"/>
          <w:sz w:val="24"/>
          <w:szCs w:val="24"/>
        </w:rPr>
        <w:t xml:space="preserve"> by informing the </w:t>
      </w:r>
      <w:proofErr w:type="spellStart"/>
      <w:r w:rsidR="00E45611" w:rsidRPr="00954B7A">
        <w:rPr>
          <w:rFonts w:ascii="Times New Roman" w:eastAsia="Times New Roman" w:hAnsi="Times New Roman" w:cs="Times New Roman"/>
          <w:sz w:val="24"/>
          <w:szCs w:val="24"/>
        </w:rPr>
        <w:t>GoT’s</w:t>
      </w:r>
      <w:proofErr w:type="spellEnd"/>
      <w:r w:rsidR="00E45611" w:rsidRPr="00954B7A">
        <w:rPr>
          <w:rFonts w:ascii="Times New Roman" w:eastAsia="Times New Roman" w:hAnsi="Times New Roman" w:cs="Times New Roman"/>
          <w:sz w:val="24"/>
          <w:szCs w:val="24"/>
        </w:rPr>
        <w:t xml:space="preserve"> strategy to improve rail freight sector performance and </w:t>
      </w:r>
      <w:r w:rsidR="00DE2174">
        <w:rPr>
          <w:rFonts w:ascii="Times New Roman" w:eastAsia="Times New Roman" w:hAnsi="Times New Roman" w:cs="Times New Roman"/>
          <w:sz w:val="24"/>
          <w:szCs w:val="24"/>
        </w:rPr>
        <w:t xml:space="preserve">expanding </w:t>
      </w:r>
      <w:r w:rsidR="00E45611" w:rsidRPr="00954B7A">
        <w:rPr>
          <w:rFonts w:ascii="Times New Roman" w:eastAsia="Times New Roman" w:hAnsi="Times New Roman" w:cs="Times New Roman"/>
          <w:sz w:val="24"/>
          <w:szCs w:val="24"/>
        </w:rPr>
        <w:t>the commercial and sectoral impact of TCDD-owned logistics centers.</w:t>
      </w:r>
    </w:p>
    <w:p w14:paraId="44DB9D98" w14:textId="44A92942" w:rsidR="00E45611" w:rsidRPr="00954B7A" w:rsidRDefault="00E45611" w:rsidP="00DF209A">
      <w:pPr>
        <w:pStyle w:val="FirstLevel"/>
        <w:rPr>
          <w:sz w:val="24"/>
          <w:szCs w:val="24"/>
          <w:lang w:val="tr-TR"/>
        </w:rPr>
      </w:pPr>
      <w:r w:rsidRPr="00954B7A">
        <w:rPr>
          <w:sz w:val="24"/>
          <w:szCs w:val="24"/>
        </w:rPr>
        <w:t>Rail Logistics Improvement Project (RLIP)</w:t>
      </w:r>
    </w:p>
    <w:p w14:paraId="4932A7B2" w14:textId="2816826C" w:rsidR="00485E31" w:rsidRDefault="00E45611" w:rsidP="00485E31">
      <w:pPr>
        <w:spacing w:before="120" w:after="240" w:line="240" w:lineRule="auto"/>
        <w:jc w:val="both"/>
        <w:rPr>
          <w:rFonts w:ascii="Times New Roman" w:hAnsi="Times New Roman" w:cs="Times New Roman"/>
          <w:sz w:val="24"/>
          <w:szCs w:val="24"/>
        </w:rPr>
      </w:pPr>
      <w:r w:rsidRPr="00954B7A">
        <w:rPr>
          <w:rFonts w:ascii="Times New Roman" w:hAnsi="Times New Roman" w:cs="Times New Roman"/>
          <w:sz w:val="24"/>
          <w:szCs w:val="24"/>
        </w:rPr>
        <w:t>The Rail Logistics Improvement Project</w:t>
      </w:r>
      <w:r w:rsidRPr="00954B7A">
        <w:rPr>
          <w:rFonts w:ascii="Times New Roman" w:hAnsi="Times New Roman" w:cs="Times New Roman"/>
          <w:b/>
          <w:bCs/>
          <w:sz w:val="24"/>
          <w:szCs w:val="24"/>
        </w:rPr>
        <w:t xml:space="preserve"> </w:t>
      </w:r>
      <w:r w:rsidRPr="00954B7A">
        <w:rPr>
          <w:rFonts w:ascii="Times New Roman" w:hAnsi="Times New Roman" w:cs="Times New Roman"/>
          <w:sz w:val="24"/>
          <w:szCs w:val="24"/>
        </w:rPr>
        <w:t xml:space="preserve">(hereafter referred to, interchangeably, as “RLIP” or “the Project”) </w:t>
      </w:r>
      <w:r w:rsidR="00485E31" w:rsidRPr="00954B7A">
        <w:rPr>
          <w:rFonts w:ascii="Times New Roman" w:hAnsi="Times New Roman" w:cs="Times New Roman"/>
          <w:sz w:val="24"/>
          <w:szCs w:val="24"/>
        </w:rPr>
        <w:t>is an ongoing investment project in</w:t>
      </w:r>
      <w:r w:rsidR="00485E31">
        <w:rPr>
          <w:rFonts w:ascii="Times New Roman" w:hAnsi="Times New Roman" w:cs="Times New Roman"/>
          <w:sz w:val="24"/>
          <w:szCs w:val="24"/>
        </w:rPr>
        <w:t xml:space="preserve"> rail last-mile connectivity in Türkiye. In implementation since June 2020,</w:t>
      </w:r>
      <w:r w:rsidR="00DE2174">
        <w:rPr>
          <w:rFonts w:ascii="Times New Roman" w:hAnsi="Times New Roman" w:cs="Times New Roman"/>
          <w:sz w:val="24"/>
          <w:szCs w:val="24"/>
        </w:rPr>
        <w:t xml:space="preserve"> RLIP </w:t>
      </w:r>
      <w:r w:rsidR="00485E31">
        <w:rPr>
          <w:rFonts w:ascii="Times New Roman" w:hAnsi="Times New Roman" w:cs="Times New Roman"/>
          <w:sz w:val="24"/>
          <w:szCs w:val="24"/>
        </w:rPr>
        <w:t xml:space="preserve">is </w:t>
      </w:r>
      <w:r w:rsidRPr="00910753">
        <w:rPr>
          <w:rFonts w:ascii="Times New Roman" w:hAnsi="Times New Roman" w:cs="Times New Roman"/>
          <w:sz w:val="24"/>
          <w:szCs w:val="24"/>
        </w:rPr>
        <w:t>financed by the World Bank and implemented by the Ministry of Transport and Infrastructure (</w:t>
      </w:r>
      <w:proofErr w:type="spellStart"/>
      <w:r w:rsidRPr="00910753">
        <w:rPr>
          <w:rFonts w:ascii="Times New Roman" w:hAnsi="Times New Roman" w:cs="Times New Roman"/>
          <w:sz w:val="24"/>
          <w:szCs w:val="24"/>
        </w:rPr>
        <w:t>MoTI</w:t>
      </w:r>
      <w:proofErr w:type="spellEnd"/>
      <w:r w:rsidRPr="00910753">
        <w:rPr>
          <w:rFonts w:ascii="Times New Roman" w:hAnsi="Times New Roman" w:cs="Times New Roman"/>
          <w:sz w:val="24"/>
          <w:szCs w:val="24"/>
        </w:rPr>
        <w:t>) through its Directorate-General of Infrastructure Investments (</w:t>
      </w:r>
      <w:r>
        <w:rPr>
          <w:rFonts w:ascii="Times New Roman" w:hAnsi="Times New Roman" w:cs="Times New Roman"/>
          <w:sz w:val="24"/>
          <w:szCs w:val="24"/>
        </w:rPr>
        <w:t>AYGM</w:t>
      </w:r>
      <w:r w:rsidRPr="00910753">
        <w:rPr>
          <w:rFonts w:ascii="Times New Roman" w:hAnsi="Times New Roman" w:cs="Times New Roman"/>
          <w:sz w:val="24"/>
          <w:szCs w:val="24"/>
        </w:rPr>
        <w:t>)</w:t>
      </w:r>
      <w:r w:rsidR="00485E31">
        <w:rPr>
          <w:rFonts w:ascii="Times New Roman" w:hAnsi="Times New Roman" w:cs="Times New Roman"/>
          <w:sz w:val="24"/>
          <w:szCs w:val="24"/>
        </w:rPr>
        <w:t>. RLIP</w:t>
      </w:r>
      <w:r w:rsidRPr="00910753">
        <w:rPr>
          <w:rFonts w:ascii="Times New Roman" w:hAnsi="Times New Roman" w:cs="Times New Roman"/>
          <w:sz w:val="24"/>
          <w:szCs w:val="24"/>
        </w:rPr>
        <w:t xml:space="preserve"> aims to increase rail freight efficiency in </w:t>
      </w:r>
      <w:r>
        <w:rPr>
          <w:rFonts w:ascii="Times New Roman" w:hAnsi="Times New Roman" w:cs="Times New Roman"/>
          <w:sz w:val="24"/>
          <w:szCs w:val="24"/>
        </w:rPr>
        <w:t>Türkiye</w:t>
      </w:r>
      <w:r w:rsidRPr="00910753">
        <w:rPr>
          <w:rFonts w:ascii="Times New Roman" w:hAnsi="Times New Roman" w:cs="Times New Roman"/>
          <w:sz w:val="24"/>
          <w:szCs w:val="24"/>
        </w:rPr>
        <w:t xml:space="preserve"> by improving last-mile rail infrastructure connectivity (LMC)</w:t>
      </w:r>
      <w:r w:rsidR="00485E31">
        <w:rPr>
          <w:rFonts w:ascii="Times New Roman" w:hAnsi="Times New Roman" w:cs="Times New Roman"/>
          <w:sz w:val="24"/>
          <w:szCs w:val="24"/>
        </w:rPr>
        <w:t xml:space="preserve"> to/from well selected cargo generation-attraction </w:t>
      </w:r>
      <w:r w:rsidR="00DE2174">
        <w:rPr>
          <w:rFonts w:ascii="Times New Roman" w:hAnsi="Times New Roman" w:cs="Times New Roman"/>
          <w:sz w:val="24"/>
          <w:szCs w:val="24"/>
        </w:rPr>
        <w:lastRenderedPageBreak/>
        <w:t>nodes,</w:t>
      </w:r>
      <w:r w:rsidR="00485E31">
        <w:rPr>
          <w:rFonts w:ascii="Times New Roman" w:hAnsi="Times New Roman" w:cs="Times New Roman"/>
          <w:sz w:val="24"/>
          <w:szCs w:val="24"/>
        </w:rPr>
        <w:t xml:space="preserve"> such as organized industrial zones and maritime ports. The project also aims to</w:t>
      </w:r>
      <w:r w:rsidRPr="00910753">
        <w:rPr>
          <w:rFonts w:ascii="Times New Roman" w:hAnsi="Times New Roman" w:cs="Times New Roman"/>
          <w:sz w:val="24"/>
          <w:szCs w:val="24"/>
        </w:rPr>
        <w:t xml:space="preserve"> </w:t>
      </w:r>
      <w:r w:rsidR="00485E31">
        <w:rPr>
          <w:rFonts w:ascii="Times New Roman" w:hAnsi="Times New Roman" w:cs="Times New Roman"/>
          <w:sz w:val="24"/>
          <w:szCs w:val="24"/>
        </w:rPr>
        <w:t xml:space="preserve">inform </w:t>
      </w:r>
      <w:proofErr w:type="spellStart"/>
      <w:r w:rsidR="00485E31">
        <w:rPr>
          <w:rFonts w:ascii="Times New Roman" w:hAnsi="Times New Roman" w:cs="Times New Roman"/>
          <w:sz w:val="24"/>
          <w:szCs w:val="24"/>
        </w:rPr>
        <w:t>MoTI’s</w:t>
      </w:r>
      <w:proofErr w:type="spellEnd"/>
      <w:r w:rsidR="00485E31">
        <w:rPr>
          <w:rFonts w:ascii="Times New Roman" w:hAnsi="Times New Roman" w:cs="Times New Roman"/>
          <w:sz w:val="24"/>
          <w:szCs w:val="24"/>
        </w:rPr>
        <w:t xml:space="preserve"> policy making </w:t>
      </w:r>
      <w:r w:rsidR="00DE2174">
        <w:rPr>
          <w:rFonts w:ascii="Times New Roman" w:hAnsi="Times New Roman" w:cs="Times New Roman"/>
          <w:sz w:val="24"/>
          <w:szCs w:val="24"/>
        </w:rPr>
        <w:t>in the rail freight and multimodal logistics sectors</w:t>
      </w:r>
      <w:r w:rsidR="00485E31">
        <w:rPr>
          <w:rFonts w:ascii="Times New Roman" w:hAnsi="Times New Roman" w:cs="Times New Roman"/>
          <w:sz w:val="24"/>
          <w:szCs w:val="24"/>
        </w:rPr>
        <w:t>.</w:t>
      </w:r>
      <w:r w:rsidRPr="00910753">
        <w:rPr>
          <w:rFonts w:ascii="Times New Roman" w:hAnsi="Times New Roman" w:cs="Times New Roman"/>
          <w:sz w:val="24"/>
          <w:szCs w:val="24"/>
        </w:rPr>
        <w:t xml:space="preserve"> </w:t>
      </w:r>
    </w:p>
    <w:p w14:paraId="4AC8ECCC" w14:textId="54F0108A" w:rsidR="00E45611" w:rsidRPr="00910753" w:rsidRDefault="00E45611" w:rsidP="00E45611">
      <w:pPr>
        <w:spacing w:before="120" w:after="360" w:line="240" w:lineRule="auto"/>
        <w:jc w:val="both"/>
        <w:rPr>
          <w:rFonts w:ascii="Times New Roman" w:hAnsi="Times New Roman" w:cs="Times New Roman"/>
          <w:sz w:val="24"/>
          <w:szCs w:val="24"/>
        </w:rPr>
      </w:pPr>
      <w:r w:rsidRPr="00910753">
        <w:rPr>
          <w:rFonts w:ascii="Times New Roman" w:hAnsi="Times New Roman" w:cs="Times New Roman"/>
          <w:sz w:val="24"/>
          <w:szCs w:val="24"/>
        </w:rPr>
        <w:t xml:space="preserve">The project is developed around three </w:t>
      </w:r>
      <w:r w:rsidR="00485E31">
        <w:rPr>
          <w:rFonts w:ascii="Times New Roman" w:hAnsi="Times New Roman" w:cs="Times New Roman"/>
          <w:sz w:val="24"/>
          <w:szCs w:val="24"/>
        </w:rPr>
        <w:t>c</w:t>
      </w:r>
      <w:r w:rsidRPr="00910753">
        <w:rPr>
          <w:rFonts w:ascii="Times New Roman" w:hAnsi="Times New Roman" w:cs="Times New Roman"/>
          <w:sz w:val="24"/>
          <w:szCs w:val="24"/>
        </w:rPr>
        <w:t>omponents:</w:t>
      </w:r>
    </w:p>
    <w:p w14:paraId="193127A7" w14:textId="4D5782F0" w:rsidR="00E45611" w:rsidRPr="00910753" w:rsidRDefault="00E45611" w:rsidP="00E45611">
      <w:pPr>
        <w:pStyle w:val="ListeParagraf"/>
        <w:numPr>
          <w:ilvl w:val="0"/>
          <w:numId w:val="2"/>
        </w:numPr>
        <w:spacing w:before="120" w:after="360" w:line="240" w:lineRule="auto"/>
        <w:ind w:left="360"/>
        <w:jc w:val="both"/>
        <w:rPr>
          <w:rFonts w:ascii="Times New Roman" w:hAnsi="Times New Roman" w:cs="Times New Roman"/>
          <w:sz w:val="24"/>
          <w:szCs w:val="24"/>
        </w:rPr>
      </w:pPr>
      <w:r w:rsidRPr="00910753">
        <w:rPr>
          <w:rFonts w:ascii="Times New Roman" w:hAnsi="Times New Roman" w:cs="Times New Roman"/>
          <w:b/>
          <w:bCs/>
          <w:sz w:val="24"/>
          <w:szCs w:val="24"/>
        </w:rPr>
        <w:t>Component 1: Construction of Railway Branch Lines and Multimodal Connections at Priority Network Nodes</w:t>
      </w:r>
      <w:r w:rsidRPr="00910753">
        <w:rPr>
          <w:rFonts w:ascii="Times New Roman" w:hAnsi="Times New Roman" w:cs="Times New Roman"/>
          <w:sz w:val="24"/>
          <w:szCs w:val="24"/>
        </w:rPr>
        <w:t>, including the provision of last-mile rail</w:t>
      </w:r>
      <w:r w:rsidR="00485E31">
        <w:rPr>
          <w:rFonts w:ascii="Times New Roman" w:hAnsi="Times New Roman" w:cs="Times New Roman"/>
          <w:sz w:val="24"/>
          <w:szCs w:val="24"/>
        </w:rPr>
        <w:t xml:space="preserve"> </w:t>
      </w:r>
      <w:r w:rsidRPr="00910753">
        <w:rPr>
          <w:rFonts w:ascii="Times New Roman" w:hAnsi="Times New Roman" w:cs="Times New Roman"/>
          <w:sz w:val="24"/>
          <w:szCs w:val="24"/>
        </w:rPr>
        <w:t>connectivity at well-prioritized portions of the Turkish railway network.</w:t>
      </w:r>
      <w:r w:rsidR="00327EC8">
        <w:rPr>
          <w:rFonts w:ascii="Times New Roman" w:hAnsi="Times New Roman" w:cs="Times New Roman"/>
          <w:sz w:val="24"/>
          <w:szCs w:val="24"/>
        </w:rPr>
        <w:t xml:space="preserve"> Specifically, </w:t>
      </w:r>
      <w:r w:rsidRPr="00910753">
        <w:rPr>
          <w:rFonts w:ascii="Times New Roman" w:hAnsi="Times New Roman" w:cs="Times New Roman"/>
          <w:sz w:val="24"/>
          <w:szCs w:val="24"/>
        </w:rPr>
        <w:t xml:space="preserve">Component 1 </w:t>
      </w:r>
      <w:r w:rsidR="00327EC8">
        <w:rPr>
          <w:rFonts w:ascii="Times New Roman" w:hAnsi="Times New Roman" w:cs="Times New Roman"/>
          <w:sz w:val="24"/>
          <w:szCs w:val="24"/>
        </w:rPr>
        <w:t xml:space="preserve">will provide </w:t>
      </w:r>
      <w:r w:rsidRPr="00910753">
        <w:rPr>
          <w:rFonts w:ascii="Times New Roman" w:hAnsi="Times New Roman" w:cs="Times New Roman"/>
          <w:sz w:val="24"/>
          <w:szCs w:val="24"/>
        </w:rPr>
        <w:t xml:space="preserve">last-mile rail connectivity to/from the greenfield maritime port of </w:t>
      </w:r>
      <w:proofErr w:type="spellStart"/>
      <w:r w:rsidRPr="00910753">
        <w:rPr>
          <w:rFonts w:ascii="Times New Roman" w:hAnsi="Times New Roman" w:cs="Times New Roman"/>
          <w:sz w:val="24"/>
          <w:szCs w:val="24"/>
        </w:rPr>
        <w:t>Filyos</w:t>
      </w:r>
      <w:proofErr w:type="spellEnd"/>
      <w:r w:rsidRPr="00910753">
        <w:rPr>
          <w:rFonts w:ascii="Times New Roman" w:hAnsi="Times New Roman" w:cs="Times New Roman"/>
          <w:sz w:val="24"/>
          <w:szCs w:val="24"/>
        </w:rPr>
        <w:t xml:space="preserve"> on the Black Sea Coast, and last-mile rail connectivity to/from key industrial zones adjacent to Iskenderun Bay in the </w:t>
      </w:r>
      <w:proofErr w:type="spellStart"/>
      <w:r w:rsidRPr="00910753">
        <w:rPr>
          <w:rFonts w:ascii="Times New Roman" w:hAnsi="Times New Roman" w:cs="Times New Roman"/>
          <w:sz w:val="24"/>
          <w:szCs w:val="24"/>
        </w:rPr>
        <w:t>Çukurova</w:t>
      </w:r>
      <w:proofErr w:type="spellEnd"/>
      <w:r w:rsidRPr="00910753">
        <w:rPr>
          <w:rFonts w:ascii="Times New Roman" w:hAnsi="Times New Roman" w:cs="Times New Roman"/>
          <w:sz w:val="24"/>
          <w:szCs w:val="24"/>
        </w:rPr>
        <w:t xml:space="preserve"> region.</w:t>
      </w:r>
      <w:r w:rsidR="00327EC8">
        <w:rPr>
          <w:rFonts w:ascii="Times New Roman" w:hAnsi="Times New Roman" w:cs="Times New Roman"/>
          <w:sz w:val="24"/>
          <w:szCs w:val="24"/>
        </w:rPr>
        <w:t xml:space="preserve"> Civil works for both subprojects are ongoing.</w:t>
      </w:r>
      <w:r w:rsidRPr="00910753">
        <w:rPr>
          <w:rFonts w:ascii="Times New Roman" w:hAnsi="Times New Roman" w:cs="Times New Roman"/>
          <w:sz w:val="24"/>
          <w:szCs w:val="24"/>
        </w:rPr>
        <w:t xml:space="preserve"> </w:t>
      </w:r>
    </w:p>
    <w:p w14:paraId="0DCAE778" w14:textId="77777777" w:rsidR="00E45611" w:rsidRPr="00910753" w:rsidRDefault="00E45611" w:rsidP="00E45611">
      <w:pPr>
        <w:pStyle w:val="ListeParagraf"/>
        <w:spacing w:before="120" w:after="360" w:line="240" w:lineRule="auto"/>
        <w:ind w:left="360"/>
        <w:jc w:val="both"/>
        <w:rPr>
          <w:rFonts w:ascii="Times New Roman" w:hAnsi="Times New Roman" w:cs="Times New Roman"/>
          <w:sz w:val="24"/>
          <w:szCs w:val="24"/>
        </w:rPr>
      </w:pPr>
    </w:p>
    <w:p w14:paraId="7F709A88" w14:textId="0324D4CC" w:rsidR="00E45611" w:rsidRPr="00485E31" w:rsidRDefault="00E45611" w:rsidP="00E45611">
      <w:pPr>
        <w:pStyle w:val="ListeParagraf"/>
        <w:numPr>
          <w:ilvl w:val="0"/>
          <w:numId w:val="2"/>
        </w:numPr>
        <w:spacing w:before="120" w:after="360" w:line="240" w:lineRule="auto"/>
        <w:ind w:left="360"/>
        <w:jc w:val="both"/>
        <w:rPr>
          <w:rFonts w:ascii="Times New Roman" w:hAnsi="Times New Roman" w:cs="Times New Roman"/>
          <w:sz w:val="24"/>
          <w:szCs w:val="24"/>
        </w:rPr>
      </w:pPr>
      <w:r w:rsidRPr="00485E31">
        <w:rPr>
          <w:rFonts w:ascii="Times New Roman" w:hAnsi="Times New Roman" w:cs="Times New Roman"/>
          <w:b/>
          <w:bCs/>
          <w:sz w:val="24"/>
          <w:szCs w:val="24"/>
        </w:rPr>
        <w:t>Component 2: Consulting Services for Additional Railway Lines</w:t>
      </w:r>
      <w:r w:rsidRPr="00485E31">
        <w:rPr>
          <w:rFonts w:ascii="Times New Roman" w:hAnsi="Times New Roman" w:cs="Times New Roman"/>
          <w:sz w:val="24"/>
          <w:szCs w:val="24"/>
        </w:rPr>
        <w:t xml:space="preserve">, including consulting services to produce Feasibility Studies—including the environmental and social dimensions of project feasibility—for 12 potential last-mile rail connectivity infrastructure subprojects at pre-identified freight generation-attraction nodes currently disconnected from the national railway network. Engineering designs and environmental and social safeguards instruments will also be produced for a subset of these subprojects. </w:t>
      </w:r>
      <w:r w:rsidR="00327EC8">
        <w:rPr>
          <w:rFonts w:ascii="Times New Roman" w:hAnsi="Times New Roman" w:cs="Times New Roman"/>
          <w:sz w:val="24"/>
          <w:szCs w:val="24"/>
        </w:rPr>
        <w:t>These assessments are in preparation.</w:t>
      </w:r>
    </w:p>
    <w:p w14:paraId="01474CB3" w14:textId="77777777" w:rsidR="00485E31" w:rsidRPr="00485E31" w:rsidRDefault="00485E31" w:rsidP="00485E31">
      <w:pPr>
        <w:pStyle w:val="ListeParagraf"/>
        <w:spacing w:before="120" w:after="360" w:line="240" w:lineRule="auto"/>
        <w:ind w:left="360"/>
        <w:jc w:val="both"/>
        <w:rPr>
          <w:rFonts w:ascii="Times New Roman" w:hAnsi="Times New Roman" w:cs="Times New Roman"/>
          <w:sz w:val="24"/>
          <w:szCs w:val="24"/>
        </w:rPr>
      </w:pPr>
    </w:p>
    <w:p w14:paraId="4BC55431" w14:textId="34C99116" w:rsidR="00E45611" w:rsidRDefault="00E45611" w:rsidP="00E45611">
      <w:pPr>
        <w:pStyle w:val="ListeParagraf"/>
        <w:numPr>
          <w:ilvl w:val="0"/>
          <w:numId w:val="2"/>
        </w:numPr>
        <w:spacing w:before="120" w:after="360" w:line="240" w:lineRule="auto"/>
        <w:ind w:left="360"/>
        <w:jc w:val="both"/>
        <w:rPr>
          <w:rFonts w:ascii="Times New Roman" w:hAnsi="Times New Roman" w:cs="Times New Roman"/>
          <w:sz w:val="24"/>
          <w:szCs w:val="24"/>
        </w:rPr>
      </w:pPr>
      <w:r w:rsidRPr="00910753">
        <w:rPr>
          <w:rFonts w:ascii="Times New Roman" w:hAnsi="Times New Roman" w:cs="Times New Roman"/>
          <w:b/>
          <w:bCs/>
          <w:sz w:val="24"/>
          <w:szCs w:val="24"/>
        </w:rPr>
        <w:t>Component 3: Institutional Strengthening, Capacity Building, and Project Implementation Support</w:t>
      </w:r>
      <w:r w:rsidRPr="00910753">
        <w:rPr>
          <w:rFonts w:ascii="Times New Roman" w:hAnsi="Times New Roman" w:cs="Times New Roman"/>
          <w:sz w:val="24"/>
          <w:szCs w:val="24"/>
        </w:rPr>
        <w:t xml:space="preserve">, including consulting services to provide technical assistance and capacity building in </w:t>
      </w:r>
      <w:r w:rsidR="00DE2174">
        <w:rPr>
          <w:rFonts w:ascii="Times New Roman" w:hAnsi="Times New Roman" w:cs="Times New Roman"/>
          <w:sz w:val="24"/>
          <w:szCs w:val="24"/>
        </w:rPr>
        <w:t xml:space="preserve">two </w:t>
      </w:r>
      <w:r w:rsidRPr="00910753">
        <w:rPr>
          <w:rFonts w:ascii="Times New Roman" w:hAnsi="Times New Roman" w:cs="Times New Roman"/>
          <w:sz w:val="24"/>
          <w:szCs w:val="24"/>
        </w:rPr>
        <w:t>areas: (</w:t>
      </w:r>
      <w:proofErr w:type="spellStart"/>
      <w:r w:rsidRPr="00910753">
        <w:rPr>
          <w:rFonts w:ascii="Times New Roman" w:hAnsi="Times New Roman" w:cs="Times New Roman"/>
          <w:sz w:val="24"/>
          <w:szCs w:val="24"/>
        </w:rPr>
        <w:t>i</w:t>
      </w:r>
      <w:proofErr w:type="spellEnd"/>
      <w:r w:rsidRPr="00910753">
        <w:rPr>
          <w:rFonts w:ascii="Times New Roman" w:hAnsi="Times New Roman" w:cs="Times New Roman"/>
          <w:sz w:val="24"/>
          <w:szCs w:val="24"/>
        </w:rPr>
        <w:t xml:space="preserve">) </w:t>
      </w:r>
      <w:bookmarkStart w:id="0" w:name="_Hlk179444782"/>
      <w:r w:rsidRPr="00910753">
        <w:rPr>
          <w:rFonts w:ascii="Times New Roman" w:hAnsi="Times New Roman" w:cs="Times New Roman"/>
          <w:sz w:val="24"/>
          <w:szCs w:val="24"/>
        </w:rPr>
        <w:t xml:space="preserve">support to </w:t>
      </w:r>
      <w:proofErr w:type="spellStart"/>
      <w:r w:rsidRPr="00910753">
        <w:rPr>
          <w:rFonts w:ascii="Times New Roman" w:hAnsi="Times New Roman" w:cs="Times New Roman"/>
          <w:sz w:val="24"/>
          <w:szCs w:val="24"/>
        </w:rPr>
        <w:t>MoTI</w:t>
      </w:r>
      <w:proofErr w:type="spellEnd"/>
      <w:r w:rsidRPr="00910753">
        <w:rPr>
          <w:rFonts w:ascii="Times New Roman" w:hAnsi="Times New Roman" w:cs="Times New Roman"/>
          <w:sz w:val="24"/>
          <w:szCs w:val="24"/>
        </w:rPr>
        <w:t xml:space="preserve"> </w:t>
      </w:r>
      <w:r w:rsidR="007D74AB">
        <w:rPr>
          <w:rFonts w:ascii="Times New Roman" w:hAnsi="Times New Roman" w:cs="Times New Roman"/>
          <w:sz w:val="24"/>
          <w:szCs w:val="24"/>
        </w:rPr>
        <w:t>on informing its</w:t>
      </w:r>
      <w:r w:rsidRPr="00910753">
        <w:rPr>
          <w:rFonts w:ascii="Times New Roman" w:hAnsi="Times New Roman" w:cs="Times New Roman"/>
          <w:sz w:val="24"/>
          <w:szCs w:val="24"/>
        </w:rPr>
        <w:t xml:space="preserve"> strategy for rail freight sector performance improvement</w:t>
      </w:r>
      <w:bookmarkEnd w:id="0"/>
      <w:r w:rsidRPr="00910753">
        <w:rPr>
          <w:rFonts w:ascii="Times New Roman" w:hAnsi="Times New Roman" w:cs="Times New Roman"/>
          <w:sz w:val="24"/>
          <w:szCs w:val="24"/>
        </w:rPr>
        <w:t>; and (i</w:t>
      </w:r>
      <w:r>
        <w:rPr>
          <w:rFonts w:ascii="Times New Roman" w:hAnsi="Times New Roman" w:cs="Times New Roman"/>
          <w:sz w:val="24"/>
          <w:szCs w:val="24"/>
        </w:rPr>
        <w:t>i</w:t>
      </w:r>
      <w:r w:rsidRPr="00910753">
        <w:rPr>
          <w:rFonts w:ascii="Times New Roman" w:hAnsi="Times New Roman" w:cs="Times New Roman"/>
          <w:sz w:val="24"/>
          <w:szCs w:val="24"/>
        </w:rPr>
        <w:t>) support</w:t>
      </w:r>
      <w:r>
        <w:rPr>
          <w:rFonts w:ascii="Times New Roman" w:hAnsi="Times New Roman" w:cs="Times New Roman"/>
          <w:sz w:val="24"/>
          <w:szCs w:val="24"/>
        </w:rPr>
        <w:t xml:space="preserve"> to</w:t>
      </w:r>
      <w:r w:rsidRPr="00910753">
        <w:rPr>
          <w:rFonts w:ascii="Times New Roman" w:hAnsi="Times New Roman" w:cs="Times New Roman"/>
          <w:sz w:val="24"/>
          <w:szCs w:val="24"/>
        </w:rPr>
        <w:t xml:space="preserve"> </w:t>
      </w:r>
      <w:proofErr w:type="spellStart"/>
      <w:r>
        <w:rPr>
          <w:rFonts w:ascii="Times New Roman" w:hAnsi="Times New Roman" w:cs="Times New Roman"/>
          <w:sz w:val="24"/>
          <w:szCs w:val="24"/>
        </w:rPr>
        <w:t>MoTI</w:t>
      </w:r>
      <w:proofErr w:type="spellEnd"/>
      <w:r w:rsidRPr="00910753">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910753">
        <w:rPr>
          <w:rFonts w:ascii="Times New Roman" w:hAnsi="Times New Roman" w:cs="Times New Roman"/>
          <w:sz w:val="24"/>
          <w:szCs w:val="24"/>
        </w:rPr>
        <w:t xml:space="preserve">the development of </w:t>
      </w:r>
      <w:r w:rsidR="00267025">
        <w:rPr>
          <w:rFonts w:ascii="Times New Roman" w:hAnsi="Times New Roman" w:cs="Times New Roman"/>
          <w:sz w:val="24"/>
          <w:szCs w:val="24"/>
        </w:rPr>
        <w:t>options for viable</w:t>
      </w:r>
      <w:r w:rsidR="007D74AB">
        <w:rPr>
          <w:rFonts w:ascii="Times New Roman" w:hAnsi="Times New Roman" w:cs="Times New Roman"/>
          <w:sz w:val="24"/>
          <w:szCs w:val="24"/>
        </w:rPr>
        <w:t xml:space="preserve"> alternative</w:t>
      </w:r>
      <w:r w:rsidRPr="00910753">
        <w:rPr>
          <w:rFonts w:ascii="Times New Roman" w:hAnsi="Times New Roman" w:cs="Times New Roman"/>
          <w:sz w:val="24"/>
          <w:szCs w:val="24"/>
        </w:rPr>
        <w:t xml:space="preserve"> operational and management model</w:t>
      </w:r>
      <w:r w:rsidR="00267025">
        <w:rPr>
          <w:rFonts w:ascii="Times New Roman" w:hAnsi="Times New Roman" w:cs="Times New Roman"/>
          <w:sz w:val="24"/>
          <w:szCs w:val="24"/>
        </w:rPr>
        <w:t>s</w:t>
      </w:r>
      <w:r w:rsidRPr="00910753">
        <w:rPr>
          <w:rFonts w:ascii="Times New Roman" w:hAnsi="Times New Roman" w:cs="Times New Roman"/>
          <w:sz w:val="24"/>
          <w:szCs w:val="24"/>
        </w:rPr>
        <w:t xml:space="preserve"> for </w:t>
      </w:r>
      <w:r>
        <w:rPr>
          <w:rFonts w:ascii="Times New Roman" w:hAnsi="Times New Roman" w:cs="Times New Roman"/>
          <w:sz w:val="24"/>
          <w:szCs w:val="24"/>
        </w:rPr>
        <w:t xml:space="preserve">TCDD-owned </w:t>
      </w:r>
      <w:r w:rsidRPr="00910753">
        <w:rPr>
          <w:rFonts w:ascii="Times New Roman" w:hAnsi="Times New Roman" w:cs="Times New Roman"/>
          <w:sz w:val="24"/>
          <w:szCs w:val="24"/>
        </w:rPr>
        <w:t>rail-enabled logistics centers.</w:t>
      </w:r>
      <w:r w:rsidR="00734A2B">
        <w:rPr>
          <w:rFonts w:ascii="Times New Roman" w:hAnsi="Times New Roman" w:cs="Times New Roman"/>
          <w:sz w:val="24"/>
          <w:szCs w:val="24"/>
        </w:rPr>
        <w:t xml:space="preserve"> </w:t>
      </w:r>
      <w:r w:rsidR="00327EC8">
        <w:rPr>
          <w:rFonts w:ascii="Times New Roman" w:hAnsi="Times New Roman" w:cs="Times New Roman"/>
          <w:sz w:val="24"/>
          <w:szCs w:val="24"/>
        </w:rPr>
        <w:t>The provision of this</w:t>
      </w:r>
      <w:r w:rsidR="00734A2B">
        <w:rPr>
          <w:rFonts w:ascii="Times New Roman" w:hAnsi="Times New Roman" w:cs="Times New Roman"/>
          <w:sz w:val="24"/>
          <w:szCs w:val="24"/>
        </w:rPr>
        <w:t xml:space="preserve"> technical assistance </w:t>
      </w:r>
      <w:r w:rsidR="00327EC8">
        <w:rPr>
          <w:rFonts w:ascii="Times New Roman" w:hAnsi="Times New Roman" w:cs="Times New Roman"/>
          <w:sz w:val="24"/>
          <w:szCs w:val="24"/>
        </w:rPr>
        <w:t>is</w:t>
      </w:r>
      <w:r w:rsidR="00734A2B">
        <w:rPr>
          <w:rFonts w:ascii="Times New Roman" w:hAnsi="Times New Roman" w:cs="Times New Roman"/>
          <w:sz w:val="24"/>
          <w:szCs w:val="24"/>
        </w:rPr>
        <w:t xml:space="preserve"> the subject of these Terms of Reference (</w:t>
      </w:r>
      <w:proofErr w:type="spellStart"/>
      <w:r w:rsidR="00734A2B">
        <w:rPr>
          <w:rFonts w:ascii="Times New Roman" w:hAnsi="Times New Roman" w:cs="Times New Roman"/>
          <w:sz w:val="24"/>
          <w:szCs w:val="24"/>
        </w:rPr>
        <w:t>ToR</w:t>
      </w:r>
      <w:proofErr w:type="spellEnd"/>
      <w:r w:rsidR="00734A2B">
        <w:rPr>
          <w:rFonts w:ascii="Times New Roman" w:hAnsi="Times New Roman" w:cs="Times New Roman"/>
          <w:sz w:val="24"/>
          <w:szCs w:val="24"/>
        </w:rPr>
        <w:t>).</w:t>
      </w:r>
    </w:p>
    <w:p w14:paraId="6C3BB5CA" w14:textId="77777777" w:rsidR="00E45611" w:rsidRPr="00E45611" w:rsidRDefault="00E45611" w:rsidP="00E45611">
      <w:pPr>
        <w:pStyle w:val="ListeParagraf"/>
        <w:rPr>
          <w:rFonts w:ascii="Times New Roman" w:hAnsi="Times New Roman" w:cs="Times New Roman"/>
          <w:sz w:val="12"/>
          <w:szCs w:val="12"/>
        </w:rPr>
      </w:pPr>
    </w:p>
    <w:p w14:paraId="077238EB" w14:textId="1DFC15F7" w:rsidR="00E45611" w:rsidRPr="00E845F6" w:rsidRDefault="00E45611" w:rsidP="00E45611">
      <w:pPr>
        <w:spacing w:before="120" w:after="360" w:line="240" w:lineRule="auto"/>
        <w:jc w:val="both"/>
        <w:rPr>
          <w:rFonts w:ascii="Times New Roman" w:hAnsi="Times New Roman" w:cs="Times New Roman"/>
          <w:sz w:val="24"/>
          <w:szCs w:val="24"/>
        </w:rPr>
      </w:pPr>
      <w:r>
        <w:rPr>
          <w:rFonts w:ascii="Times New Roman" w:hAnsi="Times New Roman" w:cs="Times New Roman"/>
          <w:sz w:val="24"/>
          <w:szCs w:val="24"/>
        </w:rPr>
        <w:t xml:space="preserve">AYGM </w:t>
      </w:r>
      <w:r w:rsidRPr="00E45611">
        <w:rPr>
          <w:rFonts w:ascii="Times New Roman" w:hAnsi="Times New Roman" w:cs="Times New Roman"/>
          <w:sz w:val="24"/>
          <w:szCs w:val="24"/>
        </w:rPr>
        <w:t>has been given overall implementation responsibility of RLIP and serve</w:t>
      </w:r>
      <w:r>
        <w:rPr>
          <w:rFonts w:ascii="Times New Roman" w:hAnsi="Times New Roman" w:cs="Times New Roman"/>
          <w:sz w:val="24"/>
          <w:szCs w:val="24"/>
        </w:rPr>
        <w:t>s</w:t>
      </w:r>
      <w:r w:rsidRPr="00E45611">
        <w:rPr>
          <w:rFonts w:ascii="Times New Roman" w:hAnsi="Times New Roman" w:cs="Times New Roman"/>
          <w:sz w:val="24"/>
          <w:szCs w:val="24"/>
        </w:rPr>
        <w:t xml:space="preserve"> as its implementing agency at the working level. A </w:t>
      </w:r>
      <w:r w:rsidRPr="00C16924">
        <w:rPr>
          <w:rFonts w:ascii="Times New Roman" w:hAnsi="Times New Roman" w:cs="Times New Roman"/>
          <w:sz w:val="24"/>
          <w:szCs w:val="24"/>
        </w:rPr>
        <w:t>Project Implementation Unit (PIU)</w:t>
      </w:r>
      <w:r w:rsidRPr="00E45611">
        <w:rPr>
          <w:rFonts w:ascii="Times New Roman" w:hAnsi="Times New Roman" w:cs="Times New Roman"/>
          <w:sz w:val="24"/>
          <w:szCs w:val="24"/>
        </w:rPr>
        <w:t xml:space="preserve"> has been established within </w:t>
      </w:r>
      <w:r>
        <w:rPr>
          <w:rFonts w:ascii="Times New Roman" w:hAnsi="Times New Roman" w:cs="Times New Roman"/>
          <w:sz w:val="24"/>
          <w:szCs w:val="24"/>
        </w:rPr>
        <w:t>AYGM</w:t>
      </w:r>
      <w:r w:rsidRPr="00E45611">
        <w:rPr>
          <w:rFonts w:ascii="Times New Roman" w:hAnsi="Times New Roman" w:cs="Times New Roman"/>
          <w:sz w:val="24"/>
          <w:szCs w:val="24"/>
        </w:rPr>
        <w:t xml:space="preserve"> to oversee all aspects of project implementation across all 3 components</w:t>
      </w:r>
      <w:r>
        <w:rPr>
          <w:rFonts w:ascii="Times New Roman" w:hAnsi="Times New Roman" w:cs="Times New Roman"/>
          <w:sz w:val="24"/>
          <w:szCs w:val="24"/>
        </w:rPr>
        <w:t xml:space="preserve">, </w:t>
      </w:r>
      <w:r w:rsidRPr="00E845F6">
        <w:rPr>
          <w:rFonts w:ascii="Times New Roman" w:hAnsi="Times New Roman" w:cs="Times New Roman"/>
          <w:sz w:val="24"/>
          <w:szCs w:val="24"/>
        </w:rPr>
        <w:t xml:space="preserve">including these consulting services. </w:t>
      </w:r>
    </w:p>
    <w:p w14:paraId="63678105" w14:textId="3839A543" w:rsidR="00DF209A" w:rsidRPr="00E845F6" w:rsidRDefault="00DF209A" w:rsidP="00DF209A">
      <w:pPr>
        <w:pStyle w:val="FirstLevel"/>
        <w:rPr>
          <w:sz w:val="24"/>
          <w:szCs w:val="24"/>
          <w:lang w:val="tr-TR"/>
        </w:rPr>
      </w:pPr>
      <w:r w:rsidRPr="00E845F6">
        <w:rPr>
          <w:sz w:val="24"/>
          <w:szCs w:val="24"/>
        </w:rPr>
        <w:t>Objective of the Assignment</w:t>
      </w:r>
    </w:p>
    <w:p w14:paraId="767F69E4" w14:textId="77777777" w:rsidR="0061279E" w:rsidRDefault="008C65D0" w:rsidP="0061279E">
      <w:pPr>
        <w:jc w:val="both"/>
        <w:rPr>
          <w:rFonts w:ascii="Times New Roman" w:hAnsi="Times New Roman" w:cs="Times New Roman"/>
          <w:sz w:val="24"/>
          <w:szCs w:val="24"/>
        </w:rPr>
      </w:pPr>
      <w:r w:rsidRPr="00E845F6">
        <w:rPr>
          <w:rFonts w:ascii="Times New Roman" w:hAnsi="Times New Roman" w:cs="Times New Roman"/>
          <w:sz w:val="24"/>
          <w:szCs w:val="24"/>
        </w:rPr>
        <w:t xml:space="preserve">The objective of the assignment is to provide technical, market, and strategic advice to </w:t>
      </w:r>
      <w:proofErr w:type="spellStart"/>
      <w:r w:rsidRPr="00E845F6">
        <w:rPr>
          <w:rFonts w:ascii="Times New Roman" w:hAnsi="Times New Roman" w:cs="Times New Roman"/>
          <w:sz w:val="24"/>
          <w:szCs w:val="24"/>
        </w:rPr>
        <w:t>MoTI</w:t>
      </w:r>
      <w:proofErr w:type="spellEnd"/>
      <w:r w:rsidRPr="00E845F6">
        <w:rPr>
          <w:rFonts w:ascii="Times New Roman" w:hAnsi="Times New Roman" w:cs="Times New Roman"/>
          <w:sz w:val="24"/>
          <w:szCs w:val="24"/>
        </w:rPr>
        <w:t>/AYGM to inform</w:t>
      </w:r>
      <w:r>
        <w:rPr>
          <w:rFonts w:ascii="Times New Roman" w:hAnsi="Times New Roman" w:cs="Times New Roman"/>
          <w:sz w:val="24"/>
          <w:szCs w:val="24"/>
        </w:rPr>
        <w:t xml:space="preserve"> their rail freight sector and logistics centers strategy, as part of their commitment to </w:t>
      </w:r>
      <w:r w:rsidR="00327CE8">
        <w:rPr>
          <w:rFonts w:ascii="Times New Roman" w:hAnsi="Times New Roman" w:cs="Times New Roman"/>
          <w:sz w:val="24"/>
          <w:szCs w:val="24"/>
        </w:rPr>
        <w:t xml:space="preserve">facilitate a </w:t>
      </w:r>
      <w:r w:rsidR="00E32E80">
        <w:rPr>
          <w:rFonts w:ascii="Times New Roman" w:hAnsi="Times New Roman" w:cs="Times New Roman"/>
          <w:sz w:val="24"/>
          <w:szCs w:val="24"/>
        </w:rPr>
        <w:t>larger</w:t>
      </w:r>
      <w:r w:rsidR="00327CE8">
        <w:rPr>
          <w:rFonts w:ascii="Times New Roman" w:hAnsi="Times New Roman" w:cs="Times New Roman"/>
          <w:sz w:val="24"/>
          <w:szCs w:val="24"/>
        </w:rPr>
        <w:t xml:space="preserve"> role of rail freight and rail intermodal in the national logistics system</w:t>
      </w:r>
      <w:r w:rsidR="00DE2174">
        <w:rPr>
          <w:rFonts w:ascii="Times New Roman" w:hAnsi="Times New Roman" w:cs="Times New Roman"/>
          <w:sz w:val="24"/>
          <w:szCs w:val="24"/>
        </w:rPr>
        <w:t>, with greater participation of the private sector</w:t>
      </w:r>
      <w:r w:rsidR="00327CE8">
        <w:rPr>
          <w:rFonts w:ascii="Times New Roman" w:hAnsi="Times New Roman" w:cs="Times New Roman"/>
          <w:sz w:val="24"/>
          <w:szCs w:val="24"/>
        </w:rPr>
        <w:t>. The intention is for this advice to be highly practical and actionable, based on quantitative and qualitative evidence, informed by international best practice properly adapted to the Turkish environment</w:t>
      </w:r>
      <w:r w:rsidR="00DE2174">
        <w:rPr>
          <w:rFonts w:ascii="Times New Roman" w:hAnsi="Times New Roman" w:cs="Times New Roman"/>
          <w:sz w:val="24"/>
          <w:szCs w:val="24"/>
        </w:rPr>
        <w:t>. The advice must be aligned</w:t>
      </w:r>
      <w:r w:rsidR="007D74AB">
        <w:rPr>
          <w:rFonts w:ascii="Times New Roman" w:hAnsi="Times New Roman" w:cs="Times New Roman"/>
          <w:sz w:val="24"/>
          <w:szCs w:val="24"/>
        </w:rPr>
        <w:t xml:space="preserve"> with </w:t>
      </w:r>
      <w:r w:rsidR="00327CE8">
        <w:rPr>
          <w:rFonts w:ascii="Times New Roman" w:hAnsi="Times New Roman" w:cs="Times New Roman"/>
          <w:sz w:val="24"/>
          <w:szCs w:val="24"/>
        </w:rPr>
        <w:t xml:space="preserve">the </w:t>
      </w:r>
      <w:proofErr w:type="spellStart"/>
      <w:r w:rsidR="00327CE8">
        <w:rPr>
          <w:rFonts w:ascii="Times New Roman" w:hAnsi="Times New Roman" w:cs="Times New Roman"/>
          <w:sz w:val="24"/>
          <w:szCs w:val="24"/>
        </w:rPr>
        <w:t>GoT’s</w:t>
      </w:r>
      <w:proofErr w:type="spellEnd"/>
      <w:r w:rsidR="00327CE8">
        <w:rPr>
          <w:rFonts w:ascii="Times New Roman" w:hAnsi="Times New Roman" w:cs="Times New Roman"/>
          <w:sz w:val="24"/>
          <w:szCs w:val="24"/>
        </w:rPr>
        <w:t xml:space="preserve"> and </w:t>
      </w:r>
      <w:proofErr w:type="spellStart"/>
      <w:r w:rsidR="00327CE8">
        <w:rPr>
          <w:rFonts w:ascii="Times New Roman" w:hAnsi="Times New Roman" w:cs="Times New Roman"/>
          <w:sz w:val="24"/>
          <w:szCs w:val="24"/>
        </w:rPr>
        <w:t>MoTI’s</w:t>
      </w:r>
      <w:proofErr w:type="spellEnd"/>
      <w:r w:rsidR="00327CE8">
        <w:rPr>
          <w:rFonts w:ascii="Times New Roman" w:hAnsi="Times New Roman" w:cs="Times New Roman"/>
          <w:sz w:val="24"/>
          <w:szCs w:val="24"/>
        </w:rPr>
        <w:t xml:space="preserve"> goals for the sector, </w:t>
      </w:r>
      <w:r w:rsidR="00DE2174">
        <w:rPr>
          <w:rFonts w:ascii="Times New Roman" w:hAnsi="Times New Roman" w:cs="Times New Roman"/>
          <w:sz w:val="24"/>
          <w:szCs w:val="24"/>
        </w:rPr>
        <w:t xml:space="preserve">and </w:t>
      </w:r>
      <w:r w:rsidR="00F86AD0">
        <w:rPr>
          <w:rFonts w:ascii="Times New Roman" w:hAnsi="Times New Roman" w:cs="Times New Roman"/>
          <w:sz w:val="24"/>
          <w:szCs w:val="24"/>
        </w:rPr>
        <w:t xml:space="preserve">it should </w:t>
      </w:r>
      <w:r w:rsidR="00DE2174">
        <w:rPr>
          <w:rFonts w:ascii="Times New Roman" w:hAnsi="Times New Roman" w:cs="Times New Roman"/>
          <w:sz w:val="24"/>
          <w:szCs w:val="24"/>
        </w:rPr>
        <w:t xml:space="preserve">take into consideration </w:t>
      </w:r>
      <w:r w:rsidR="00327CE8">
        <w:rPr>
          <w:rFonts w:ascii="Times New Roman" w:hAnsi="Times New Roman" w:cs="Times New Roman"/>
          <w:sz w:val="24"/>
          <w:szCs w:val="24"/>
        </w:rPr>
        <w:t xml:space="preserve">political economy </w:t>
      </w:r>
      <w:r w:rsidR="00F86AD0">
        <w:rPr>
          <w:rFonts w:ascii="Times New Roman" w:hAnsi="Times New Roman" w:cs="Times New Roman"/>
          <w:sz w:val="24"/>
          <w:szCs w:val="24"/>
        </w:rPr>
        <w:t>constraints to help make it actionable and feasible</w:t>
      </w:r>
      <w:r w:rsidR="00327CE8">
        <w:rPr>
          <w:rFonts w:ascii="Times New Roman" w:hAnsi="Times New Roman" w:cs="Times New Roman"/>
          <w:sz w:val="24"/>
          <w:szCs w:val="24"/>
        </w:rPr>
        <w:t xml:space="preserve">. </w:t>
      </w:r>
      <w:r w:rsidR="00F86AD0">
        <w:rPr>
          <w:rFonts w:ascii="Times New Roman" w:hAnsi="Times New Roman" w:cs="Times New Roman"/>
          <w:sz w:val="24"/>
          <w:szCs w:val="24"/>
        </w:rPr>
        <w:t>The assignment’s recommendations should</w:t>
      </w:r>
      <w:r w:rsidR="00327CE8">
        <w:rPr>
          <w:rFonts w:ascii="Times New Roman" w:hAnsi="Times New Roman" w:cs="Times New Roman"/>
          <w:sz w:val="24"/>
          <w:szCs w:val="24"/>
        </w:rPr>
        <w:t xml:space="preserve"> be prioritized, sequenced, and specific. </w:t>
      </w:r>
      <w:r w:rsidR="0061279E" w:rsidRPr="0077350B">
        <w:rPr>
          <w:rFonts w:ascii="Times New Roman" w:hAnsi="Times New Roman" w:cs="Times New Roman"/>
          <w:sz w:val="24"/>
          <w:szCs w:val="24"/>
        </w:rPr>
        <w:t xml:space="preserve">In addition, the assignment will support </w:t>
      </w:r>
      <w:proofErr w:type="spellStart"/>
      <w:r w:rsidR="0061279E" w:rsidRPr="0077350B">
        <w:rPr>
          <w:rFonts w:ascii="Times New Roman" w:hAnsi="Times New Roman" w:cs="Times New Roman"/>
          <w:sz w:val="24"/>
          <w:szCs w:val="24"/>
        </w:rPr>
        <w:t>MoTI</w:t>
      </w:r>
      <w:proofErr w:type="spellEnd"/>
      <w:r w:rsidR="0061279E" w:rsidRPr="0077350B">
        <w:rPr>
          <w:rFonts w:ascii="Times New Roman" w:hAnsi="Times New Roman" w:cs="Times New Roman"/>
          <w:sz w:val="24"/>
          <w:szCs w:val="24"/>
        </w:rPr>
        <w:t>/AYGM in assessing the medium-term impacts of rail sector liberalization and in defining a realistic and evidence-based strategic roadmap for the period 2026–2030.</w:t>
      </w:r>
    </w:p>
    <w:p w14:paraId="524A58BA" w14:textId="0B660B2A" w:rsidR="00327CE8" w:rsidRDefault="00F86AD0" w:rsidP="00327CE8">
      <w:pPr>
        <w:jc w:val="both"/>
        <w:rPr>
          <w:rFonts w:ascii="Times New Roman" w:hAnsi="Times New Roman" w:cs="Times New Roman"/>
          <w:sz w:val="24"/>
          <w:szCs w:val="24"/>
        </w:rPr>
      </w:pPr>
      <w:r>
        <w:rPr>
          <w:rFonts w:ascii="Times New Roman" w:hAnsi="Times New Roman" w:cs="Times New Roman"/>
          <w:sz w:val="24"/>
          <w:szCs w:val="24"/>
        </w:rPr>
        <w:lastRenderedPageBreak/>
        <w:t>The</w:t>
      </w:r>
      <w:r w:rsidR="00327CE8">
        <w:rPr>
          <w:rFonts w:ascii="Times New Roman" w:hAnsi="Times New Roman" w:cs="Times New Roman"/>
          <w:sz w:val="24"/>
          <w:szCs w:val="24"/>
        </w:rPr>
        <w:t xml:space="preserve"> assignment </w:t>
      </w:r>
      <w:r>
        <w:rPr>
          <w:rFonts w:ascii="Times New Roman" w:hAnsi="Times New Roman" w:cs="Times New Roman"/>
          <w:sz w:val="24"/>
          <w:szCs w:val="24"/>
        </w:rPr>
        <w:t xml:space="preserve">also </w:t>
      </w:r>
      <w:r w:rsidR="00327CE8">
        <w:rPr>
          <w:rFonts w:ascii="Times New Roman" w:hAnsi="Times New Roman" w:cs="Times New Roman"/>
          <w:sz w:val="24"/>
          <w:szCs w:val="24"/>
        </w:rPr>
        <w:t xml:space="preserve">intends to generate and transfer knowledge to AYGM </w:t>
      </w:r>
      <w:r>
        <w:rPr>
          <w:rFonts w:ascii="Times New Roman" w:hAnsi="Times New Roman" w:cs="Times New Roman"/>
          <w:sz w:val="24"/>
          <w:szCs w:val="24"/>
        </w:rPr>
        <w:t>staff</w:t>
      </w:r>
      <w:r w:rsidR="007D74AB">
        <w:rPr>
          <w:rFonts w:ascii="Times New Roman" w:hAnsi="Times New Roman" w:cs="Times New Roman"/>
          <w:sz w:val="24"/>
          <w:szCs w:val="24"/>
        </w:rPr>
        <w:t>—a</w:t>
      </w:r>
      <w:r w:rsidR="00327CE8">
        <w:rPr>
          <w:rFonts w:ascii="Times New Roman" w:hAnsi="Times New Roman" w:cs="Times New Roman"/>
          <w:sz w:val="24"/>
          <w:szCs w:val="24"/>
        </w:rPr>
        <w:t xml:space="preserve">nd </w:t>
      </w:r>
      <w:r>
        <w:rPr>
          <w:rFonts w:ascii="Times New Roman" w:hAnsi="Times New Roman" w:cs="Times New Roman"/>
          <w:sz w:val="24"/>
          <w:szCs w:val="24"/>
        </w:rPr>
        <w:t>that of o</w:t>
      </w:r>
      <w:r w:rsidR="00327CE8">
        <w:rPr>
          <w:rFonts w:ascii="Times New Roman" w:hAnsi="Times New Roman" w:cs="Times New Roman"/>
          <w:sz w:val="24"/>
          <w:szCs w:val="24"/>
        </w:rPr>
        <w:t xml:space="preserve">ther </w:t>
      </w:r>
      <w:proofErr w:type="spellStart"/>
      <w:r w:rsidR="00327CE8">
        <w:rPr>
          <w:rFonts w:ascii="Times New Roman" w:hAnsi="Times New Roman" w:cs="Times New Roman"/>
          <w:sz w:val="24"/>
          <w:szCs w:val="24"/>
        </w:rPr>
        <w:t>MoTI</w:t>
      </w:r>
      <w:proofErr w:type="spellEnd"/>
      <w:r w:rsidR="00327CE8">
        <w:rPr>
          <w:rFonts w:ascii="Times New Roman" w:hAnsi="Times New Roman" w:cs="Times New Roman"/>
          <w:sz w:val="24"/>
          <w:szCs w:val="24"/>
        </w:rPr>
        <w:t xml:space="preserve"> entities as relevant</w:t>
      </w:r>
      <w:r w:rsidR="007D74AB">
        <w:rPr>
          <w:rFonts w:ascii="Times New Roman" w:hAnsi="Times New Roman" w:cs="Times New Roman"/>
          <w:sz w:val="24"/>
          <w:szCs w:val="24"/>
        </w:rPr>
        <w:t>—</w:t>
      </w:r>
      <w:r w:rsidR="00327CE8">
        <w:rPr>
          <w:rFonts w:ascii="Times New Roman" w:hAnsi="Times New Roman" w:cs="Times New Roman"/>
          <w:sz w:val="24"/>
          <w:szCs w:val="24"/>
        </w:rPr>
        <w:t xml:space="preserve">on </w:t>
      </w:r>
      <w:r>
        <w:rPr>
          <w:rFonts w:ascii="Times New Roman" w:hAnsi="Times New Roman" w:cs="Times New Roman"/>
          <w:sz w:val="24"/>
          <w:szCs w:val="24"/>
        </w:rPr>
        <w:t>topics of high relevance to the</w:t>
      </w:r>
      <w:r w:rsidR="00327CE8">
        <w:rPr>
          <w:rFonts w:ascii="Times New Roman" w:hAnsi="Times New Roman" w:cs="Times New Roman"/>
          <w:sz w:val="24"/>
          <w:szCs w:val="24"/>
        </w:rPr>
        <w:t xml:space="preserve"> public administration of the rail freight and multimodal logistics sector.</w:t>
      </w:r>
    </w:p>
    <w:p w14:paraId="75532FF8" w14:textId="751BF07D" w:rsidR="008C65D0" w:rsidRPr="00485E31" w:rsidRDefault="00327CE8" w:rsidP="00E45611">
      <w:pPr>
        <w:jc w:val="both"/>
        <w:rPr>
          <w:rFonts w:ascii="Times New Roman" w:hAnsi="Times New Roman" w:cs="Times New Roman"/>
          <w:sz w:val="24"/>
          <w:szCs w:val="24"/>
        </w:rPr>
      </w:pPr>
      <w:r>
        <w:rPr>
          <w:rFonts w:ascii="Times New Roman" w:hAnsi="Times New Roman" w:cs="Times New Roman"/>
          <w:sz w:val="24"/>
          <w:szCs w:val="24"/>
        </w:rPr>
        <w:t xml:space="preserve">The implementing </w:t>
      </w:r>
      <w:r w:rsidRPr="00485E31">
        <w:rPr>
          <w:rFonts w:ascii="Times New Roman" w:hAnsi="Times New Roman" w:cs="Times New Roman"/>
          <w:sz w:val="24"/>
          <w:szCs w:val="24"/>
        </w:rPr>
        <w:t>agency of this assignment (the Employer) will be AYGM, and all deliverables will be addressed to AYGM.</w:t>
      </w:r>
      <w:r w:rsidR="00707086" w:rsidRPr="00485E31">
        <w:rPr>
          <w:rFonts w:ascii="Times New Roman" w:hAnsi="Times New Roman" w:cs="Times New Roman"/>
          <w:sz w:val="24"/>
          <w:szCs w:val="24"/>
        </w:rPr>
        <w:t xml:space="preserve"> In its capacity as financier of this assignment, the World Bank will play the role of sounding board and technical partner of AYGM. As such, the World Bank will be expected to </w:t>
      </w:r>
      <w:r w:rsidR="00760699" w:rsidRPr="00485E31">
        <w:rPr>
          <w:rFonts w:ascii="Times New Roman" w:hAnsi="Times New Roman" w:cs="Times New Roman"/>
          <w:sz w:val="24"/>
          <w:szCs w:val="24"/>
        </w:rPr>
        <w:t>review and provide comments on all deliverables under the assignment, for the consideration of AYGM</w:t>
      </w:r>
      <w:r w:rsidR="007D74AB">
        <w:rPr>
          <w:rFonts w:ascii="Times New Roman" w:hAnsi="Times New Roman" w:cs="Times New Roman"/>
          <w:sz w:val="24"/>
          <w:szCs w:val="24"/>
        </w:rPr>
        <w:t xml:space="preserve"> and the Consultant</w:t>
      </w:r>
      <w:r w:rsidR="00760699" w:rsidRPr="00485E31">
        <w:rPr>
          <w:rFonts w:ascii="Times New Roman" w:hAnsi="Times New Roman" w:cs="Times New Roman"/>
          <w:sz w:val="24"/>
          <w:szCs w:val="24"/>
        </w:rPr>
        <w:t xml:space="preserve">. </w:t>
      </w:r>
    </w:p>
    <w:p w14:paraId="08BB50E9" w14:textId="7A16178D" w:rsidR="008C65D0" w:rsidRPr="00485E31" w:rsidRDefault="00327CE8" w:rsidP="00327CE8">
      <w:pPr>
        <w:pStyle w:val="FirstLevel"/>
        <w:rPr>
          <w:sz w:val="24"/>
          <w:szCs w:val="24"/>
        </w:rPr>
      </w:pPr>
      <w:r w:rsidRPr="00485E31">
        <w:rPr>
          <w:sz w:val="24"/>
          <w:szCs w:val="24"/>
        </w:rPr>
        <w:t>Assignment Scope</w:t>
      </w:r>
    </w:p>
    <w:p w14:paraId="383E8395" w14:textId="77777777" w:rsidR="00F86AD0" w:rsidRDefault="00E45611" w:rsidP="00E45611">
      <w:pPr>
        <w:jc w:val="both"/>
        <w:rPr>
          <w:rFonts w:ascii="Times New Roman" w:hAnsi="Times New Roman" w:cs="Times New Roman"/>
          <w:sz w:val="24"/>
          <w:szCs w:val="24"/>
        </w:rPr>
      </w:pPr>
      <w:r w:rsidRPr="00485E31">
        <w:rPr>
          <w:rFonts w:ascii="Times New Roman" w:hAnsi="Times New Roman" w:cs="Times New Roman"/>
          <w:sz w:val="24"/>
          <w:szCs w:val="24"/>
        </w:rPr>
        <w:t xml:space="preserve">The </w:t>
      </w:r>
      <w:r w:rsidR="00DF209A" w:rsidRPr="00485E31">
        <w:rPr>
          <w:rFonts w:ascii="Times New Roman" w:hAnsi="Times New Roman" w:cs="Times New Roman"/>
          <w:sz w:val="24"/>
          <w:szCs w:val="24"/>
        </w:rPr>
        <w:t xml:space="preserve">assignment comprises two </w:t>
      </w:r>
      <w:r w:rsidR="00327CE8" w:rsidRPr="00485E31">
        <w:rPr>
          <w:rFonts w:ascii="Times New Roman" w:hAnsi="Times New Roman" w:cs="Times New Roman"/>
          <w:sz w:val="24"/>
          <w:szCs w:val="24"/>
        </w:rPr>
        <w:t>main tasks, each including several sub-tasks</w:t>
      </w:r>
      <w:r w:rsidR="00DF209A" w:rsidRPr="00485E31">
        <w:rPr>
          <w:rFonts w:ascii="Times New Roman" w:hAnsi="Times New Roman" w:cs="Times New Roman"/>
          <w:sz w:val="24"/>
          <w:szCs w:val="24"/>
        </w:rPr>
        <w:t xml:space="preserve">. </w:t>
      </w:r>
    </w:p>
    <w:p w14:paraId="14CD76A9" w14:textId="26B8DA1B" w:rsidR="00DF209A" w:rsidRPr="00F86AD0" w:rsidRDefault="00327CE8" w:rsidP="00F86AD0">
      <w:pPr>
        <w:spacing w:after="360"/>
        <w:jc w:val="both"/>
        <w:rPr>
          <w:rFonts w:ascii="Times New Roman" w:hAnsi="Times New Roman" w:cs="Times New Roman"/>
          <w:sz w:val="24"/>
          <w:szCs w:val="24"/>
        </w:rPr>
      </w:pPr>
      <w:r w:rsidRPr="00F86AD0">
        <w:rPr>
          <w:rFonts w:ascii="Times New Roman" w:hAnsi="Times New Roman" w:cs="Times New Roman"/>
          <w:sz w:val="24"/>
          <w:szCs w:val="24"/>
        </w:rPr>
        <w:t xml:space="preserve">Task 1 </w:t>
      </w:r>
      <w:r w:rsidR="00A552AD" w:rsidRPr="00F86AD0">
        <w:rPr>
          <w:rFonts w:ascii="Times New Roman" w:hAnsi="Times New Roman" w:cs="Times New Roman"/>
          <w:sz w:val="24"/>
          <w:szCs w:val="24"/>
        </w:rPr>
        <w:t>aims to inform</w:t>
      </w:r>
      <w:r w:rsidR="00DF209A" w:rsidRPr="00F86AD0">
        <w:rPr>
          <w:rFonts w:ascii="Times New Roman" w:hAnsi="Times New Roman" w:cs="Times New Roman"/>
          <w:sz w:val="24"/>
          <w:szCs w:val="24"/>
        </w:rPr>
        <w:t xml:space="preserve"> </w:t>
      </w:r>
      <w:proofErr w:type="spellStart"/>
      <w:r w:rsidR="00E45611" w:rsidRPr="00F86AD0">
        <w:rPr>
          <w:rFonts w:ascii="Times New Roman" w:hAnsi="Times New Roman" w:cs="Times New Roman"/>
          <w:sz w:val="24"/>
          <w:szCs w:val="24"/>
        </w:rPr>
        <w:t>MoTI</w:t>
      </w:r>
      <w:r w:rsidR="00A552AD" w:rsidRPr="00F86AD0">
        <w:rPr>
          <w:rFonts w:ascii="Times New Roman" w:hAnsi="Times New Roman" w:cs="Times New Roman"/>
          <w:sz w:val="24"/>
          <w:szCs w:val="24"/>
        </w:rPr>
        <w:t>’s</w:t>
      </w:r>
      <w:proofErr w:type="spellEnd"/>
      <w:r w:rsidR="00E45611" w:rsidRPr="00F86AD0">
        <w:rPr>
          <w:rFonts w:ascii="Times New Roman" w:hAnsi="Times New Roman" w:cs="Times New Roman"/>
          <w:sz w:val="24"/>
          <w:szCs w:val="24"/>
        </w:rPr>
        <w:t xml:space="preserve"> </w:t>
      </w:r>
      <w:r w:rsidR="00DF209A" w:rsidRPr="00F86AD0">
        <w:rPr>
          <w:rFonts w:ascii="Times New Roman" w:hAnsi="Times New Roman" w:cs="Times New Roman"/>
          <w:sz w:val="24"/>
          <w:szCs w:val="24"/>
        </w:rPr>
        <w:t xml:space="preserve">strategy </w:t>
      </w:r>
      <w:r w:rsidRPr="00F86AD0">
        <w:rPr>
          <w:rFonts w:ascii="Times New Roman" w:hAnsi="Times New Roman" w:cs="Times New Roman"/>
          <w:sz w:val="24"/>
          <w:szCs w:val="24"/>
        </w:rPr>
        <w:t>to improve</w:t>
      </w:r>
      <w:r w:rsidR="00DF209A" w:rsidRPr="00F86AD0">
        <w:rPr>
          <w:rFonts w:ascii="Times New Roman" w:hAnsi="Times New Roman" w:cs="Times New Roman"/>
          <w:sz w:val="24"/>
          <w:szCs w:val="24"/>
        </w:rPr>
        <w:t xml:space="preserve"> rail freight </w:t>
      </w:r>
      <w:r w:rsidR="00E45611" w:rsidRPr="00F86AD0">
        <w:rPr>
          <w:rFonts w:ascii="Times New Roman" w:hAnsi="Times New Roman" w:cs="Times New Roman"/>
          <w:sz w:val="24"/>
          <w:szCs w:val="24"/>
        </w:rPr>
        <w:t>sector performance</w:t>
      </w:r>
      <w:r w:rsidR="00F86AD0">
        <w:rPr>
          <w:rFonts w:ascii="Times New Roman" w:hAnsi="Times New Roman" w:cs="Times New Roman"/>
          <w:sz w:val="24"/>
          <w:szCs w:val="24"/>
        </w:rPr>
        <w:t xml:space="preserve">. </w:t>
      </w:r>
      <w:r w:rsidRPr="00F86AD0">
        <w:rPr>
          <w:rFonts w:ascii="Times New Roman" w:hAnsi="Times New Roman" w:cs="Times New Roman"/>
          <w:sz w:val="24"/>
          <w:szCs w:val="24"/>
        </w:rPr>
        <w:t xml:space="preserve">Task 2 </w:t>
      </w:r>
      <w:r w:rsidR="00A552AD" w:rsidRPr="00F86AD0">
        <w:rPr>
          <w:rFonts w:ascii="Times New Roman" w:hAnsi="Times New Roman" w:cs="Times New Roman"/>
          <w:sz w:val="24"/>
          <w:szCs w:val="24"/>
        </w:rPr>
        <w:t>will</w:t>
      </w:r>
      <w:r w:rsidR="00DF209A" w:rsidRPr="00F86AD0">
        <w:rPr>
          <w:rFonts w:ascii="Times New Roman" w:hAnsi="Times New Roman" w:cs="Times New Roman"/>
          <w:sz w:val="24"/>
          <w:szCs w:val="24"/>
        </w:rPr>
        <w:t xml:space="preserve"> develop </w:t>
      </w:r>
      <w:r w:rsidR="00267025" w:rsidRPr="00F86AD0">
        <w:rPr>
          <w:rFonts w:ascii="Times New Roman" w:hAnsi="Times New Roman" w:cs="Times New Roman"/>
          <w:sz w:val="24"/>
          <w:szCs w:val="24"/>
        </w:rPr>
        <w:t>options for</w:t>
      </w:r>
      <w:r w:rsidR="00E45611" w:rsidRPr="00F86AD0">
        <w:rPr>
          <w:rFonts w:ascii="Times New Roman" w:hAnsi="Times New Roman" w:cs="Times New Roman"/>
          <w:sz w:val="24"/>
          <w:szCs w:val="24"/>
        </w:rPr>
        <w:t xml:space="preserve"> </w:t>
      </w:r>
      <w:r w:rsidRPr="00F86AD0">
        <w:rPr>
          <w:rFonts w:ascii="Times New Roman" w:hAnsi="Times New Roman" w:cs="Times New Roman"/>
          <w:sz w:val="24"/>
          <w:szCs w:val="24"/>
        </w:rPr>
        <w:t xml:space="preserve">viable </w:t>
      </w:r>
      <w:r w:rsidR="00DF209A" w:rsidRPr="00F86AD0">
        <w:rPr>
          <w:rFonts w:ascii="Times New Roman" w:hAnsi="Times New Roman" w:cs="Times New Roman"/>
          <w:sz w:val="24"/>
          <w:szCs w:val="24"/>
        </w:rPr>
        <w:t>operation</w:t>
      </w:r>
      <w:r w:rsidR="00E45611" w:rsidRPr="00F86AD0">
        <w:rPr>
          <w:rFonts w:ascii="Times New Roman" w:hAnsi="Times New Roman" w:cs="Times New Roman"/>
          <w:sz w:val="24"/>
          <w:szCs w:val="24"/>
        </w:rPr>
        <w:t>al and management</w:t>
      </w:r>
      <w:r w:rsidR="00DF209A" w:rsidRPr="00F86AD0">
        <w:rPr>
          <w:rFonts w:ascii="Times New Roman" w:hAnsi="Times New Roman" w:cs="Times New Roman"/>
          <w:sz w:val="24"/>
          <w:szCs w:val="24"/>
        </w:rPr>
        <w:t xml:space="preserve"> model</w:t>
      </w:r>
      <w:r w:rsidR="00E45611" w:rsidRPr="00F86AD0">
        <w:rPr>
          <w:rFonts w:ascii="Times New Roman" w:hAnsi="Times New Roman" w:cs="Times New Roman"/>
          <w:sz w:val="24"/>
          <w:szCs w:val="24"/>
        </w:rPr>
        <w:t>s</w:t>
      </w:r>
      <w:r w:rsidR="00DF209A" w:rsidRPr="00F86AD0">
        <w:rPr>
          <w:rFonts w:ascii="Times New Roman" w:hAnsi="Times New Roman" w:cs="Times New Roman"/>
          <w:sz w:val="24"/>
          <w:szCs w:val="24"/>
        </w:rPr>
        <w:t xml:space="preserve"> for </w:t>
      </w:r>
      <w:r w:rsidR="00E45611" w:rsidRPr="00F86AD0">
        <w:rPr>
          <w:rFonts w:ascii="Times New Roman" w:hAnsi="Times New Roman" w:cs="Times New Roman"/>
          <w:sz w:val="24"/>
          <w:szCs w:val="24"/>
        </w:rPr>
        <w:t>TCDD-owned</w:t>
      </w:r>
      <w:r w:rsidR="00DF209A" w:rsidRPr="00F86AD0">
        <w:rPr>
          <w:rFonts w:ascii="Times New Roman" w:hAnsi="Times New Roman" w:cs="Times New Roman"/>
          <w:sz w:val="24"/>
          <w:szCs w:val="24"/>
        </w:rPr>
        <w:t xml:space="preserve"> logistics centers</w:t>
      </w:r>
      <w:r w:rsidR="00A552AD" w:rsidRPr="00F86AD0">
        <w:rPr>
          <w:rFonts w:ascii="Times New Roman" w:hAnsi="Times New Roman" w:cs="Times New Roman"/>
          <w:sz w:val="24"/>
          <w:szCs w:val="24"/>
        </w:rPr>
        <w:t xml:space="preserve">, for </w:t>
      </w:r>
      <w:proofErr w:type="spellStart"/>
      <w:r w:rsidR="00A552AD" w:rsidRPr="00F86AD0">
        <w:rPr>
          <w:rFonts w:ascii="Times New Roman" w:hAnsi="Times New Roman" w:cs="Times New Roman"/>
          <w:sz w:val="24"/>
          <w:szCs w:val="24"/>
        </w:rPr>
        <w:t>MoTI’s</w:t>
      </w:r>
      <w:proofErr w:type="spellEnd"/>
      <w:r w:rsidR="00A552AD" w:rsidRPr="00F86AD0">
        <w:rPr>
          <w:rFonts w:ascii="Times New Roman" w:hAnsi="Times New Roman" w:cs="Times New Roman"/>
          <w:sz w:val="24"/>
          <w:szCs w:val="24"/>
        </w:rPr>
        <w:t xml:space="preserve"> consideration</w:t>
      </w:r>
      <w:r w:rsidR="00DF209A" w:rsidRPr="00F86AD0">
        <w:rPr>
          <w:rFonts w:ascii="Times New Roman" w:hAnsi="Times New Roman" w:cs="Times New Roman"/>
          <w:sz w:val="24"/>
          <w:szCs w:val="24"/>
        </w:rPr>
        <w:t>.</w:t>
      </w:r>
      <w:r w:rsidR="00E45611" w:rsidRPr="00F86AD0">
        <w:rPr>
          <w:rFonts w:ascii="Times New Roman" w:hAnsi="Times New Roman" w:cs="Times New Roman"/>
          <w:sz w:val="24"/>
          <w:szCs w:val="24"/>
        </w:rPr>
        <w:t xml:space="preserve"> </w:t>
      </w:r>
    </w:p>
    <w:p w14:paraId="349A711F" w14:textId="746B1A5E" w:rsidR="00E45611" w:rsidRPr="00327CE8" w:rsidRDefault="00327CE8" w:rsidP="00E45611">
      <w:pPr>
        <w:jc w:val="both"/>
        <w:rPr>
          <w:rFonts w:ascii="Times New Roman" w:hAnsi="Times New Roman" w:cs="Times New Roman"/>
          <w:b/>
          <w:bCs/>
          <w:sz w:val="24"/>
          <w:szCs w:val="24"/>
        </w:rPr>
      </w:pPr>
      <w:r w:rsidRPr="00327CE8">
        <w:rPr>
          <w:rFonts w:ascii="Times New Roman" w:hAnsi="Times New Roman" w:cs="Times New Roman"/>
          <w:b/>
          <w:bCs/>
          <w:sz w:val="24"/>
          <w:szCs w:val="24"/>
        </w:rPr>
        <w:t xml:space="preserve">Task 1: </w:t>
      </w:r>
      <w:r w:rsidR="00A552AD">
        <w:rPr>
          <w:rFonts w:ascii="Times New Roman" w:hAnsi="Times New Roman" w:cs="Times New Roman"/>
          <w:b/>
          <w:bCs/>
          <w:sz w:val="24"/>
          <w:szCs w:val="24"/>
        </w:rPr>
        <w:t xml:space="preserve">Informing </w:t>
      </w:r>
      <w:proofErr w:type="spellStart"/>
      <w:r w:rsidRPr="00327CE8">
        <w:rPr>
          <w:rFonts w:ascii="Times New Roman" w:hAnsi="Times New Roman" w:cs="Times New Roman"/>
          <w:b/>
          <w:bCs/>
          <w:sz w:val="24"/>
          <w:szCs w:val="24"/>
        </w:rPr>
        <w:t>MoTI</w:t>
      </w:r>
      <w:r w:rsidR="00A552AD">
        <w:rPr>
          <w:rFonts w:ascii="Times New Roman" w:hAnsi="Times New Roman" w:cs="Times New Roman"/>
          <w:b/>
          <w:bCs/>
          <w:sz w:val="24"/>
          <w:szCs w:val="24"/>
        </w:rPr>
        <w:t>’s</w:t>
      </w:r>
      <w:proofErr w:type="spellEnd"/>
      <w:r w:rsidRPr="00327CE8">
        <w:rPr>
          <w:rFonts w:ascii="Times New Roman" w:hAnsi="Times New Roman" w:cs="Times New Roman"/>
          <w:b/>
          <w:bCs/>
          <w:sz w:val="24"/>
          <w:szCs w:val="24"/>
        </w:rPr>
        <w:t xml:space="preserve"> Strategy</w:t>
      </w:r>
      <w:r>
        <w:rPr>
          <w:rFonts w:ascii="Times New Roman" w:hAnsi="Times New Roman" w:cs="Times New Roman"/>
          <w:b/>
          <w:bCs/>
          <w:sz w:val="24"/>
          <w:szCs w:val="24"/>
        </w:rPr>
        <w:t xml:space="preserve"> to Improve Rail Freight Sector Performance</w:t>
      </w:r>
      <w:r w:rsidRPr="00327CE8">
        <w:rPr>
          <w:rFonts w:ascii="Times New Roman" w:hAnsi="Times New Roman" w:cs="Times New Roman"/>
          <w:b/>
          <w:bCs/>
          <w:sz w:val="24"/>
          <w:szCs w:val="24"/>
        </w:rPr>
        <w:t xml:space="preserve"> </w:t>
      </w:r>
    </w:p>
    <w:p w14:paraId="28F8CA02" w14:textId="615EEA5A" w:rsidR="00E45611" w:rsidRDefault="00631AB3" w:rsidP="00E45611">
      <w:pPr>
        <w:jc w:val="both"/>
        <w:rPr>
          <w:rFonts w:ascii="Times New Roman" w:hAnsi="Times New Roman" w:cs="Times New Roman"/>
          <w:sz w:val="24"/>
          <w:szCs w:val="24"/>
        </w:rPr>
      </w:pPr>
      <w:r>
        <w:rPr>
          <w:rFonts w:ascii="Times New Roman" w:hAnsi="Times New Roman" w:cs="Times New Roman"/>
          <w:sz w:val="24"/>
          <w:szCs w:val="24"/>
        </w:rPr>
        <w:t>Task 1 will comprise the following sub-tasks:</w:t>
      </w:r>
    </w:p>
    <w:p w14:paraId="0F71A46B" w14:textId="05946A2B" w:rsidR="00631AB3" w:rsidRPr="00631AB3" w:rsidRDefault="00631AB3" w:rsidP="00E45611">
      <w:pPr>
        <w:jc w:val="both"/>
        <w:rPr>
          <w:rFonts w:ascii="Times New Roman" w:hAnsi="Times New Roman" w:cs="Times New Roman"/>
          <w:b/>
          <w:bCs/>
          <w:sz w:val="24"/>
          <w:szCs w:val="24"/>
        </w:rPr>
      </w:pPr>
      <w:r w:rsidRPr="00631AB3">
        <w:rPr>
          <w:rFonts w:ascii="Times New Roman" w:hAnsi="Times New Roman" w:cs="Times New Roman"/>
          <w:b/>
          <w:bCs/>
          <w:sz w:val="24"/>
          <w:szCs w:val="24"/>
        </w:rPr>
        <w:t xml:space="preserve">Sub-task 1.1. Turkish Rail Freight Sector </w:t>
      </w:r>
      <w:r w:rsidR="00F86AD0">
        <w:rPr>
          <w:rFonts w:ascii="Times New Roman" w:hAnsi="Times New Roman" w:cs="Times New Roman"/>
          <w:b/>
          <w:bCs/>
          <w:sz w:val="24"/>
          <w:szCs w:val="24"/>
        </w:rPr>
        <w:t xml:space="preserve">Performance </w:t>
      </w:r>
      <w:r w:rsidRPr="00631AB3">
        <w:rPr>
          <w:rFonts w:ascii="Times New Roman" w:hAnsi="Times New Roman" w:cs="Times New Roman"/>
          <w:b/>
          <w:bCs/>
          <w:sz w:val="24"/>
          <w:szCs w:val="24"/>
        </w:rPr>
        <w:t>Diagnostic and Benchmarking</w:t>
      </w:r>
    </w:p>
    <w:p w14:paraId="4A82DA1E" w14:textId="0C74C227" w:rsidR="00A07823" w:rsidRDefault="00631AB3" w:rsidP="00E45611">
      <w:pPr>
        <w:jc w:val="both"/>
        <w:rPr>
          <w:rFonts w:ascii="Times New Roman" w:hAnsi="Times New Roman" w:cs="Times New Roman"/>
          <w:sz w:val="24"/>
          <w:szCs w:val="24"/>
        </w:rPr>
      </w:pPr>
      <w:r>
        <w:rPr>
          <w:rFonts w:ascii="Times New Roman" w:hAnsi="Times New Roman" w:cs="Times New Roman"/>
          <w:sz w:val="24"/>
          <w:szCs w:val="24"/>
        </w:rPr>
        <w:t xml:space="preserve">Under Sub-task 1.1 the Consultant will assess in detail the current </w:t>
      </w:r>
      <w:r w:rsidR="00F86AD0">
        <w:rPr>
          <w:rFonts w:ascii="Times New Roman" w:hAnsi="Times New Roman" w:cs="Times New Roman"/>
          <w:sz w:val="24"/>
          <w:szCs w:val="24"/>
        </w:rPr>
        <w:t>performance</w:t>
      </w:r>
      <w:r>
        <w:rPr>
          <w:rFonts w:ascii="Times New Roman" w:hAnsi="Times New Roman" w:cs="Times New Roman"/>
          <w:sz w:val="24"/>
          <w:szCs w:val="24"/>
        </w:rPr>
        <w:t xml:space="preserve"> of Türkiye’s rail freight sector—its commodity composition, services profile, industry structure, historical growth profile, </w:t>
      </w:r>
      <w:r w:rsidR="00F86AD0">
        <w:rPr>
          <w:rFonts w:ascii="Times New Roman" w:hAnsi="Times New Roman" w:cs="Times New Roman"/>
          <w:sz w:val="24"/>
          <w:szCs w:val="24"/>
        </w:rPr>
        <w:t xml:space="preserve">and </w:t>
      </w:r>
      <w:r>
        <w:rPr>
          <w:rFonts w:ascii="Times New Roman" w:hAnsi="Times New Roman" w:cs="Times New Roman"/>
          <w:sz w:val="24"/>
          <w:szCs w:val="24"/>
        </w:rPr>
        <w:t>key strengths and opportunities for improvemen</w:t>
      </w:r>
      <w:r w:rsidR="00F86AD0">
        <w:rPr>
          <w:rFonts w:ascii="Times New Roman" w:hAnsi="Times New Roman" w:cs="Times New Roman"/>
          <w:sz w:val="24"/>
          <w:szCs w:val="24"/>
        </w:rPr>
        <w:t xml:space="preserve">t as measured by a well-justified list of quantitative performance indicators. It will also qualitatively assess the sector’s performance based on findings from a program of semi-structured interviews with </w:t>
      </w:r>
      <w:proofErr w:type="spellStart"/>
      <w:r w:rsidR="00F86AD0">
        <w:rPr>
          <w:rFonts w:ascii="Times New Roman" w:hAnsi="Times New Roman" w:cs="Times New Roman"/>
          <w:sz w:val="24"/>
          <w:szCs w:val="24"/>
        </w:rPr>
        <w:t>Turkiye</w:t>
      </w:r>
      <w:proofErr w:type="spellEnd"/>
      <w:r w:rsidR="00F86AD0">
        <w:rPr>
          <w:rFonts w:ascii="Times New Roman" w:hAnsi="Times New Roman" w:cs="Times New Roman"/>
          <w:sz w:val="24"/>
          <w:szCs w:val="24"/>
        </w:rPr>
        <w:t xml:space="preserve">-based freight stakeholders, including shippers, carriers, logistics service providers, industry experts, and academics. And it will </w:t>
      </w:r>
      <w:r>
        <w:rPr>
          <w:rFonts w:ascii="Times New Roman" w:hAnsi="Times New Roman" w:cs="Times New Roman"/>
          <w:sz w:val="24"/>
          <w:szCs w:val="24"/>
        </w:rPr>
        <w:t xml:space="preserve">benchmark this market with comparable markets elsewhere, including </w:t>
      </w:r>
      <w:r w:rsidR="00485E31">
        <w:rPr>
          <w:rFonts w:ascii="Times New Roman" w:hAnsi="Times New Roman" w:cs="Times New Roman"/>
          <w:sz w:val="24"/>
          <w:szCs w:val="24"/>
        </w:rPr>
        <w:t xml:space="preserve">one </w:t>
      </w:r>
      <w:r>
        <w:rPr>
          <w:rFonts w:ascii="Times New Roman" w:hAnsi="Times New Roman" w:cs="Times New Roman"/>
          <w:sz w:val="24"/>
          <w:szCs w:val="24"/>
        </w:rPr>
        <w:t>aspirational benchmark in the EU</w:t>
      </w:r>
      <w:r w:rsidR="00A07823">
        <w:rPr>
          <w:rFonts w:ascii="Times New Roman" w:hAnsi="Times New Roman" w:cs="Times New Roman"/>
          <w:sz w:val="24"/>
          <w:szCs w:val="24"/>
        </w:rPr>
        <w:t xml:space="preserve"> (e.g., Germany)</w:t>
      </w:r>
      <w:r>
        <w:rPr>
          <w:rFonts w:ascii="Times New Roman" w:hAnsi="Times New Roman" w:cs="Times New Roman"/>
          <w:sz w:val="24"/>
          <w:szCs w:val="24"/>
        </w:rPr>
        <w:t xml:space="preserve"> and </w:t>
      </w:r>
      <w:r w:rsidR="00485E31">
        <w:rPr>
          <w:rFonts w:ascii="Times New Roman" w:hAnsi="Times New Roman" w:cs="Times New Roman"/>
          <w:sz w:val="24"/>
          <w:szCs w:val="24"/>
        </w:rPr>
        <w:t xml:space="preserve">at least two </w:t>
      </w:r>
      <w:r>
        <w:rPr>
          <w:rFonts w:ascii="Times New Roman" w:hAnsi="Times New Roman" w:cs="Times New Roman"/>
          <w:sz w:val="24"/>
          <w:szCs w:val="24"/>
        </w:rPr>
        <w:t xml:space="preserve">peer benchmarks </w:t>
      </w:r>
      <w:r w:rsidR="00485E31">
        <w:rPr>
          <w:rFonts w:ascii="Times New Roman" w:hAnsi="Times New Roman" w:cs="Times New Roman"/>
          <w:sz w:val="24"/>
          <w:szCs w:val="24"/>
        </w:rPr>
        <w:t>in</w:t>
      </w:r>
      <w:r>
        <w:rPr>
          <w:rFonts w:ascii="Times New Roman" w:hAnsi="Times New Roman" w:cs="Times New Roman"/>
          <w:sz w:val="24"/>
          <w:szCs w:val="24"/>
        </w:rPr>
        <w:t xml:space="preserve"> comparable upper middle countries, such as Mexico and South Africa.</w:t>
      </w:r>
      <w:r w:rsidR="00504664">
        <w:rPr>
          <w:rFonts w:ascii="Times New Roman" w:hAnsi="Times New Roman" w:cs="Times New Roman"/>
          <w:sz w:val="24"/>
          <w:szCs w:val="24"/>
        </w:rPr>
        <w:t xml:space="preserve"> </w:t>
      </w:r>
    </w:p>
    <w:p w14:paraId="7108D437" w14:textId="68FA81A1" w:rsidR="00E45611" w:rsidRDefault="00A07823" w:rsidP="00E45611">
      <w:pPr>
        <w:jc w:val="both"/>
        <w:rPr>
          <w:rFonts w:ascii="Times New Roman" w:hAnsi="Times New Roman" w:cs="Times New Roman"/>
          <w:sz w:val="24"/>
          <w:szCs w:val="24"/>
        </w:rPr>
      </w:pPr>
      <w:r>
        <w:rPr>
          <w:rFonts w:ascii="Times New Roman" w:hAnsi="Times New Roman" w:cs="Times New Roman"/>
          <w:sz w:val="24"/>
          <w:szCs w:val="24"/>
        </w:rPr>
        <w:t>The diagnostic will</w:t>
      </w:r>
      <w:r w:rsidR="00504664">
        <w:rPr>
          <w:rFonts w:ascii="Times New Roman" w:hAnsi="Times New Roman" w:cs="Times New Roman"/>
          <w:sz w:val="24"/>
          <w:szCs w:val="24"/>
        </w:rPr>
        <w:t xml:space="preserve"> be expected to describ</w:t>
      </w:r>
      <w:r w:rsidR="00A552AD">
        <w:rPr>
          <w:rFonts w:ascii="Times New Roman" w:hAnsi="Times New Roman" w:cs="Times New Roman"/>
          <w:sz w:val="24"/>
          <w:szCs w:val="24"/>
        </w:rPr>
        <w:t xml:space="preserve">e, quantify, and visually present </w:t>
      </w:r>
      <w:r w:rsidR="00504664" w:rsidRPr="00A552AD">
        <w:rPr>
          <w:rFonts w:ascii="Times New Roman" w:hAnsi="Times New Roman" w:cs="Times New Roman"/>
          <w:i/>
          <w:iCs/>
          <w:sz w:val="24"/>
          <w:szCs w:val="24"/>
        </w:rPr>
        <w:t>at least</w:t>
      </w:r>
      <w:r w:rsidR="00504664">
        <w:rPr>
          <w:rFonts w:ascii="Times New Roman" w:hAnsi="Times New Roman" w:cs="Times New Roman"/>
          <w:sz w:val="24"/>
          <w:szCs w:val="24"/>
        </w:rPr>
        <w:t xml:space="preserve"> the following:</w:t>
      </w:r>
    </w:p>
    <w:p w14:paraId="23E3E65D" w14:textId="223309BB" w:rsidR="00504664" w:rsidRDefault="00504664" w:rsidP="00005AAA">
      <w:pPr>
        <w:pStyle w:val="ListeParagraf"/>
        <w:numPr>
          <w:ilvl w:val="0"/>
          <w:numId w:val="3"/>
        </w:numPr>
        <w:spacing w:after="120"/>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Current size of Türkiye’s rail freight market in tons, ton-km, </w:t>
      </w:r>
      <w:r w:rsidR="00FF14A4">
        <w:rPr>
          <w:rFonts w:ascii="Times New Roman" w:hAnsi="Times New Roman" w:cs="Times New Roman"/>
          <w:sz w:val="24"/>
          <w:szCs w:val="24"/>
        </w:rPr>
        <w:t xml:space="preserve">TEUs, </w:t>
      </w:r>
      <w:r>
        <w:rPr>
          <w:rFonts w:ascii="Times New Roman" w:hAnsi="Times New Roman" w:cs="Times New Roman"/>
          <w:sz w:val="24"/>
          <w:szCs w:val="24"/>
        </w:rPr>
        <w:t xml:space="preserve">and </w:t>
      </w:r>
      <w:r w:rsidR="00A552AD">
        <w:rPr>
          <w:rFonts w:ascii="Times New Roman" w:hAnsi="Times New Roman" w:cs="Times New Roman"/>
          <w:sz w:val="24"/>
          <w:szCs w:val="24"/>
        </w:rPr>
        <w:t xml:space="preserve">railway undertaking </w:t>
      </w:r>
      <w:r>
        <w:rPr>
          <w:rFonts w:ascii="Times New Roman" w:hAnsi="Times New Roman" w:cs="Times New Roman"/>
          <w:sz w:val="24"/>
          <w:szCs w:val="24"/>
        </w:rPr>
        <w:t>TY/US$</w:t>
      </w:r>
      <w:r w:rsidR="00A552AD">
        <w:rPr>
          <w:rFonts w:ascii="Times New Roman" w:hAnsi="Times New Roman" w:cs="Times New Roman"/>
          <w:sz w:val="24"/>
          <w:szCs w:val="24"/>
        </w:rPr>
        <w:t xml:space="preserve"> revenue</w:t>
      </w:r>
      <w:r>
        <w:rPr>
          <w:rFonts w:ascii="Times New Roman" w:hAnsi="Times New Roman" w:cs="Times New Roman"/>
          <w:sz w:val="24"/>
          <w:szCs w:val="24"/>
        </w:rPr>
        <w:t xml:space="preserve"> </w:t>
      </w:r>
      <w:proofErr w:type="gramStart"/>
      <w:r>
        <w:rPr>
          <w:rFonts w:ascii="Times New Roman" w:hAnsi="Times New Roman" w:cs="Times New Roman"/>
          <w:sz w:val="24"/>
          <w:szCs w:val="24"/>
        </w:rPr>
        <w:t>terms;</w:t>
      </w:r>
      <w:proofErr w:type="gramEnd"/>
    </w:p>
    <w:p w14:paraId="2D02DA07" w14:textId="5BB5AC0A" w:rsidR="00504664" w:rsidRDefault="00504664" w:rsidP="00005AAA">
      <w:pPr>
        <w:pStyle w:val="ListeParagraf"/>
        <w:numPr>
          <w:ilvl w:val="0"/>
          <w:numId w:val="3"/>
        </w:numPr>
        <w:spacing w:after="120"/>
        <w:ind w:left="360"/>
        <w:contextualSpacing w:val="0"/>
        <w:jc w:val="both"/>
        <w:rPr>
          <w:rFonts w:ascii="Times New Roman" w:hAnsi="Times New Roman" w:cs="Times New Roman"/>
          <w:sz w:val="24"/>
          <w:szCs w:val="24"/>
        </w:rPr>
      </w:pPr>
      <w:r>
        <w:rPr>
          <w:rFonts w:ascii="Times New Roman" w:hAnsi="Times New Roman" w:cs="Times New Roman"/>
          <w:sz w:val="24"/>
          <w:szCs w:val="24"/>
        </w:rPr>
        <w:t>Decomposition of Türkiye’s rail freight market into key business segments, to include disaggregation by bulk vs. containerized freight, and within each, commodity disaggregation at the HS2 or more granular level; other market segmentation assessments should also include import-export</w:t>
      </w:r>
      <w:r w:rsidR="007D74AB">
        <w:rPr>
          <w:rFonts w:ascii="Times New Roman" w:hAnsi="Times New Roman" w:cs="Times New Roman"/>
          <w:sz w:val="24"/>
          <w:szCs w:val="24"/>
        </w:rPr>
        <w:t>/</w:t>
      </w:r>
      <w:r>
        <w:rPr>
          <w:rFonts w:ascii="Times New Roman" w:hAnsi="Times New Roman" w:cs="Times New Roman"/>
          <w:sz w:val="24"/>
          <w:szCs w:val="24"/>
        </w:rPr>
        <w:t>domestic</w:t>
      </w:r>
      <w:r w:rsidR="007D74AB">
        <w:rPr>
          <w:rFonts w:ascii="Times New Roman" w:hAnsi="Times New Roman" w:cs="Times New Roman"/>
          <w:sz w:val="24"/>
          <w:szCs w:val="24"/>
        </w:rPr>
        <w:t>/</w:t>
      </w:r>
      <w:r>
        <w:rPr>
          <w:rFonts w:ascii="Times New Roman" w:hAnsi="Times New Roman" w:cs="Times New Roman"/>
          <w:sz w:val="24"/>
          <w:szCs w:val="24"/>
        </w:rPr>
        <w:t>transit</w:t>
      </w:r>
      <w:r w:rsidR="00703A5B">
        <w:rPr>
          <w:rFonts w:ascii="Times New Roman" w:hAnsi="Times New Roman" w:cs="Times New Roman"/>
          <w:sz w:val="24"/>
          <w:szCs w:val="24"/>
        </w:rPr>
        <w:t xml:space="preserve"> </w:t>
      </w:r>
      <w:r>
        <w:rPr>
          <w:rFonts w:ascii="Times New Roman" w:hAnsi="Times New Roman" w:cs="Times New Roman"/>
          <w:sz w:val="24"/>
          <w:szCs w:val="24"/>
        </w:rPr>
        <w:t>freight</w:t>
      </w:r>
      <w:r w:rsidR="007D74AB">
        <w:rPr>
          <w:rFonts w:ascii="Times New Roman" w:hAnsi="Times New Roman" w:cs="Times New Roman"/>
          <w:sz w:val="24"/>
          <w:szCs w:val="24"/>
        </w:rPr>
        <w:t>;</w:t>
      </w:r>
      <w:r>
        <w:rPr>
          <w:rFonts w:ascii="Times New Roman" w:hAnsi="Times New Roman" w:cs="Times New Roman"/>
          <w:sz w:val="24"/>
          <w:szCs w:val="24"/>
        </w:rPr>
        <w:t xml:space="preserve"> corridor-based segmentation (MC, Türkiye-EU, Türkiye-Africa, Türkiye-Asia, etc.);</w:t>
      </w:r>
      <w:r w:rsidR="007D74AB">
        <w:rPr>
          <w:rFonts w:ascii="Times New Roman" w:hAnsi="Times New Roman" w:cs="Times New Roman"/>
          <w:sz w:val="24"/>
          <w:szCs w:val="24"/>
        </w:rPr>
        <w:t xml:space="preserve"> </w:t>
      </w:r>
      <w:r w:rsidR="008F207F">
        <w:rPr>
          <w:rFonts w:ascii="Times New Roman" w:hAnsi="Times New Roman" w:cs="Times New Roman"/>
          <w:sz w:val="24"/>
          <w:szCs w:val="24"/>
        </w:rPr>
        <w:t xml:space="preserve">length of haul (discrete categories); </w:t>
      </w:r>
      <w:r w:rsidR="007D74AB">
        <w:rPr>
          <w:rFonts w:ascii="Times New Roman" w:hAnsi="Times New Roman" w:cs="Times New Roman"/>
          <w:sz w:val="24"/>
          <w:szCs w:val="24"/>
        </w:rPr>
        <w:t xml:space="preserve">and carrier-based </w:t>
      </w:r>
      <w:r w:rsidR="007D74AB">
        <w:rPr>
          <w:rFonts w:ascii="Times New Roman" w:hAnsi="Times New Roman" w:cs="Times New Roman"/>
          <w:sz w:val="24"/>
          <w:szCs w:val="24"/>
        </w:rPr>
        <w:lastRenderedPageBreak/>
        <w:t>segmentation (public vs. private railway undertakings</w:t>
      </w:r>
      <w:r w:rsidR="00703A5B">
        <w:rPr>
          <w:rFonts w:ascii="Times New Roman" w:hAnsi="Times New Roman" w:cs="Times New Roman"/>
          <w:sz w:val="24"/>
          <w:szCs w:val="24"/>
        </w:rPr>
        <w:t>/</w:t>
      </w:r>
      <w:r w:rsidR="007D74AB">
        <w:rPr>
          <w:rFonts w:ascii="Times New Roman" w:hAnsi="Times New Roman" w:cs="Times New Roman"/>
          <w:sz w:val="24"/>
          <w:szCs w:val="24"/>
        </w:rPr>
        <w:t>by specific railway undertaking</w:t>
      </w:r>
      <w:r w:rsidR="0016443C">
        <w:rPr>
          <w:rFonts w:ascii="Times New Roman" w:hAnsi="Times New Roman" w:cs="Times New Roman"/>
          <w:sz w:val="24"/>
          <w:szCs w:val="24"/>
        </w:rPr>
        <w:t xml:space="preserve"> (RU)</w:t>
      </w:r>
      <w:r w:rsidR="007D74AB">
        <w:rPr>
          <w:rStyle w:val="DipnotBavurusu"/>
          <w:rFonts w:ascii="Times New Roman" w:hAnsi="Times New Roman" w:cs="Times New Roman"/>
          <w:sz w:val="24"/>
          <w:szCs w:val="24"/>
        </w:rPr>
        <w:footnoteReference w:id="1"/>
      </w:r>
      <w:r w:rsidR="00703A5B">
        <w:rPr>
          <w:rFonts w:ascii="Times New Roman" w:hAnsi="Times New Roman" w:cs="Times New Roman"/>
          <w:sz w:val="24"/>
          <w:szCs w:val="24"/>
        </w:rPr>
        <w:t>/by for hire vs. ‘own account’ carriers</w:t>
      </w:r>
      <w:r w:rsidR="00703A5B">
        <w:rPr>
          <w:rStyle w:val="DipnotBavurusu"/>
          <w:rFonts w:ascii="Times New Roman" w:hAnsi="Times New Roman" w:cs="Times New Roman"/>
          <w:sz w:val="24"/>
          <w:szCs w:val="24"/>
        </w:rPr>
        <w:footnoteReference w:id="2"/>
      </w:r>
      <w:r w:rsidR="007D74AB">
        <w:rPr>
          <w:rFonts w:ascii="Times New Roman" w:hAnsi="Times New Roman" w:cs="Times New Roman"/>
          <w:sz w:val="24"/>
          <w:szCs w:val="24"/>
        </w:rPr>
        <w:t>);</w:t>
      </w:r>
    </w:p>
    <w:p w14:paraId="2851F729" w14:textId="02C59D46" w:rsidR="00504664" w:rsidRDefault="00504664" w:rsidP="00005AAA">
      <w:pPr>
        <w:pStyle w:val="ListeParagraf"/>
        <w:numPr>
          <w:ilvl w:val="0"/>
          <w:numId w:val="3"/>
        </w:numPr>
        <w:spacing w:after="120"/>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Decomposition of the rail freight market by railway undertaking, including the incumbent public carrier TCDD Transportation as well as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licensed private railway </w:t>
      </w:r>
      <w:r w:rsidR="00E357E0">
        <w:rPr>
          <w:rFonts w:ascii="Times New Roman" w:hAnsi="Times New Roman" w:cs="Times New Roman"/>
          <w:sz w:val="24"/>
          <w:szCs w:val="24"/>
        </w:rPr>
        <w:t>undertakings.</w:t>
      </w:r>
    </w:p>
    <w:p w14:paraId="079FE180" w14:textId="08635A93" w:rsidR="00504664" w:rsidRPr="00005AAA" w:rsidRDefault="00005AAA" w:rsidP="00005AAA">
      <w:pPr>
        <w:pStyle w:val="ListeParagraf"/>
        <w:numPr>
          <w:ilvl w:val="0"/>
          <w:numId w:val="3"/>
        </w:numPr>
        <w:spacing w:after="120"/>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Measurement of key </w:t>
      </w:r>
      <w:r w:rsidR="00504664">
        <w:rPr>
          <w:rFonts w:ascii="Times New Roman" w:hAnsi="Times New Roman" w:cs="Times New Roman"/>
          <w:sz w:val="24"/>
          <w:szCs w:val="24"/>
        </w:rPr>
        <w:t xml:space="preserve">quantitative performance </w:t>
      </w:r>
      <w:r w:rsidR="00703A5B">
        <w:rPr>
          <w:rFonts w:ascii="Times New Roman" w:hAnsi="Times New Roman" w:cs="Times New Roman"/>
          <w:sz w:val="24"/>
          <w:szCs w:val="24"/>
        </w:rPr>
        <w:t xml:space="preserve">parameters </w:t>
      </w:r>
      <w:r>
        <w:rPr>
          <w:rFonts w:ascii="Times New Roman" w:hAnsi="Times New Roman" w:cs="Times New Roman"/>
          <w:sz w:val="24"/>
          <w:szCs w:val="24"/>
        </w:rPr>
        <w:t xml:space="preserve">for 2025 </w:t>
      </w:r>
      <w:r w:rsidR="002C4F86">
        <w:rPr>
          <w:rFonts w:ascii="Times New Roman" w:hAnsi="Times New Roman" w:cs="Times New Roman"/>
          <w:sz w:val="24"/>
          <w:szCs w:val="24"/>
        </w:rPr>
        <w:t>(</w:t>
      </w:r>
      <w:r>
        <w:rPr>
          <w:rFonts w:ascii="Times New Roman" w:hAnsi="Times New Roman" w:cs="Times New Roman"/>
          <w:sz w:val="24"/>
          <w:szCs w:val="24"/>
        </w:rPr>
        <w:t>or most recent year for which data is available</w:t>
      </w:r>
      <w:r w:rsidR="002C4F86">
        <w:rPr>
          <w:rFonts w:ascii="Times New Roman" w:hAnsi="Times New Roman" w:cs="Times New Roman"/>
          <w:sz w:val="24"/>
          <w:szCs w:val="24"/>
        </w:rPr>
        <w:t>)</w:t>
      </w:r>
      <w:r>
        <w:rPr>
          <w:rFonts w:ascii="Times New Roman" w:hAnsi="Times New Roman" w:cs="Times New Roman"/>
          <w:sz w:val="24"/>
          <w:szCs w:val="24"/>
        </w:rPr>
        <w:t>,</w:t>
      </w:r>
      <w:r w:rsidR="00504664">
        <w:rPr>
          <w:rFonts w:ascii="Times New Roman" w:hAnsi="Times New Roman" w:cs="Times New Roman"/>
          <w:sz w:val="24"/>
          <w:szCs w:val="24"/>
        </w:rPr>
        <w:t xml:space="preserve"> to </w:t>
      </w:r>
      <w:r>
        <w:rPr>
          <w:rFonts w:ascii="Times New Roman" w:hAnsi="Times New Roman" w:cs="Times New Roman"/>
          <w:sz w:val="24"/>
          <w:szCs w:val="24"/>
        </w:rPr>
        <w:t xml:space="preserve">define and </w:t>
      </w:r>
      <w:r w:rsidR="00504664">
        <w:rPr>
          <w:rFonts w:ascii="Times New Roman" w:hAnsi="Times New Roman" w:cs="Times New Roman"/>
          <w:sz w:val="24"/>
          <w:szCs w:val="24"/>
        </w:rPr>
        <w:t xml:space="preserve">describe the current performance of Türkiye’s rail freight sector, including </w:t>
      </w:r>
      <w:r w:rsidR="00504664" w:rsidRPr="00005AAA">
        <w:rPr>
          <w:rFonts w:ascii="Times New Roman" w:hAnsi="Times New Roman" w:cs="Times New Roman"/>
          <w:i/>
          <w:iCs/>
          <w:sz w:val="24"/>
          <w:szCs w:val="24"/>
        </w:rPr>
        <w:t>but not limited to</w:t>
      </w:r>
      <w:r w:rsidR="00504664">
        <w:rPr>
          <w:rFonts w:ascii="Times New Roman" w:hAnsi="Times New Roman" w:cs="Times New Roman"/>
          <w:sz w:val="24"/>
          <w:szCs w:val="24"/>
        </w:rPr>
        <w:t xml:space="preserve"> </w:t>
      </w:r>
      <w:r w:rsidR="00460B73" w:rsidRPr="00F86AD0">
        <w:rPr>
          <w:rFonts w:ascii="Times New Roman" w:hAnsi="Times New Roman" w:cs="Times New Roman"/>
          <w:b/>
          <w:bCs/>
          <w:sz w:val="24"/>
          <w:szCs w:val="24"/>
        </w:rPr>
        <w:t xml:space="preserve">service delivery </w:t>
      </w:r>
      <w:r w:rsidR="00504664" w:rsidRPr="00F86AD0">
        <w:rPr>
          <w:rFonts w:ascii="Times New Roman" w:hAnsi="Times New Roman" w:cs="Times New Roman"/>
          <w:b/>
          <w:bCs/>
          <w:sz w:val="24"/>
          <w:szCs w:val="24"/>
        </w:rPr>
        <w:t>parameters</w:t>
      </w:r>
      <w:r w:rsidR="00504664">
        <w:rPr>
          <w:rFonts w:ascii="Times New Roman" w:hAnsi="Times New Roman" w:cs="Times New Roman"/>
          <w:sz w:val="24"/>
          <w:szCs w:val="24"/>
        </w:rPr>
        <w:t xml:space="preserve"> (</w:t>
      </w:r>
      <w:r w:rsidR="002C4F86">
        <w:rPr>
          <w:rFonts w:ascii="Times New Roman" w:hAnsi="Times New Roman" w:cs="Times New Roman"/>
          <w:sz w:val="24"/>
          <w:szCs w:val="24"/>
        </w:rPr>
        <w:t xml:space="preserve">e.g., </w:t>
      </w:r>
      <w:r w:rsidR="00504664">
        <w:rPr>
          <w:rFonts w:ascii="Times New Roman" w:hAnsi="Times New Roman" w:cs="Times New Roman"/>
          <w:sz w:val="24"/>
          <w:szCs w:val="24"/>
        </w:rPr>
        <w:t>track access charges, transportation rates per ton-km</w:t>
      </w:r>
      <w:r w:rsidR="00460B73">
        <w:rPr>
          <w:rFonts w:ascii="Times New Roman" w:hAnsi="Times New Roman" w:cs="Times New Roman"/>
          <w:sz w:val="24"/>
          <w:szCs w:val="24"/>
        </w:rPr>
        <w:t>, service quality</w:t>
      </w:r>
      <w:r w:rsidR="003B1BA1">
        <w:rPr>
          <w:rFonts w:ascii="Times New Roman" w:hAnsi="Times New Roman" w:cs="Times New Roman"/>
          <w:sz w:val="24"/>
          <w:szCs w:val="24"/>
        </w:rPr>
        <w:t xml:space="preserve"> metrics</w:t>
      </w:r>
      <w:r w:rsidR="00504664">
        <w:rPr>
          <w:rFonts w:ascii="Times New Roman" w:hAnsi="Times New Roman" w:cs="Times New Roman"/>
          <w:sz w:val="24"/>
          <w:szCs w:val="24"/>
        </w:rPr>
        <w:t xml:space="preserve">), </w:t>
      </w:r>
      <w:r w:rsidR="007B5144" w:rsidRPr="00F86AD0">
        <w:rPr>
          <w:rFonts w:ascii="Times New Roman" w:hAnsi="Times New Roman" w:cs="Times New Roman"/>
          <w:b/>
          <w:bCs/>
          <w:sz w:val="24"/>
          <w:szCs w:val="24"/>
        </w:rPr>
        <w:t xml:space="preserve">market </w:t>
      </w:r>
      <w:r w:rsidR="00504664" w:rsidRPr="00F86AD0">
        <w:rPr>
          <w:rFonts w:ascii="Times New Roman" w:hAnsi="Times New Roman" w:cs="Times New Roman"/>
          <w:b/>
          <w:bCs/>
          <w:sz w:val="24"/>
          <w:szCs w:val="24"/>
        </w:rPr>
        <w:t xml:space="preserve">size </w:t>
      </w:r>
      <w:r w:rsidR="002C4F86" w:rsidRPr="00F86AD0">
        <w:rPr>
          <w:rFonts w:ascii="Times New Roman" w:hAnsi="Times New Roman" w:cs="Times New Roman"/>
          <w:b/>
          <w:bCs/>
          <w:sz w:val="24"/>
          <w:szCs w:val="24"/>
        </w:rPr>
        <w:t xml:space="preserve">and market growth </w:t>
      </w:r>
      <w:r w:rsidR="00504664" w:rsidRPr="00F86AD0">
        <w:rPr>
          <w:rFonts w:ascii="Times New Roman" w:hAnsi="Times New Roman" w:cs="Times New Roman"/>
          <w:b/>
          <w:bCs/>
          <w:sz w:val="24"/>
          <w:szCs w:val="24"/>
        </w:rPr>
        <w:t>parameters</w:t>
      </w:r>
      <w:r w:rsidR="00504664">
        <w:rPr>
          <w:rFonts w:ascii="Times New Roman" w:hAnsi="Times New Roman" w:cs="Times New Roman"/>
          <w:sz w:val="24"/>
          <w:szCs w:val="24"/>
        </w:rPr>
        <w:t xml:space="preserve"> (</w:t>
      </w:r>
      <w:r w:rsidR="002C4F86">
        <w:rPr>
          <w:rFonts w:ascii="Times New Roman" w:hAnsi="Times New Roman" w:cs="Times New Roman"/>
          <w:sz w:val="24"/>
          <w:szCs w:val="24"/>
        </w:rPr>
        <w:t xml:space="preserve">e.g., </w:t>
      </w:r>
      <w:r w:rsidR="00504664">
        <w:rPr>
          <w:rFonts w:ascii="Times New Roman" w:hAnsi="Times New Roman" w:cs="Times New Roman"/>
          <w:sz w:val="24"/>
          <w:szCs w:val="24"/>
        </w:rPr>
        <w:t>transportation revenue and tonnage/ton-km volumes broken down by key segments</w:t>
      </w:r>
      <w:r w:rsidR="002C4F86">
        <w:rPr>
          <w:rFonts w:ascii="Times New Roman" w:hAnsi="Times New Roman" w:cs="Times New Roman"/>
          <w:sz w:val="24"/>
          <w:szCs w:val="24"/>
        </w:rPr>
        <w:t>, average annual growth rate for past few years</w:t>
      </w:r>
      <w:r w:rsidR="00504664">
        <w:rPr>
          <w:rFonts w:ascii="Times New Roman" w:hAnsi="Times New Roman" w:cs="Times New Roman"/>
          <w:sz w:val="24"/>
          <w:szCs w:val="24"/>
        </w:rPr>
        <w:t xml:space="preserve">), </w:t>
      </w:r>
      <w:r w:rsidR="00504664" w:rsidRPr="00F86AD0">
        <w:rPr>
          <w:rFonts w:ascii="Times New Roman" w:hAnsi="Times New Roman" w:cs="Times New Roman"/>
          <w:b/>
          <w:bCs/>
          <w:sz w:val="24"/>
          <w:szCs w:val="24"/>
        </w:rPr>
        <w:t>market share parameters</w:t>
      </w:r>
      <w:r w:rsidR="0016443C">
        <w:rPr>
          <w:rFonts w:ascii="Times New Roman" w:hAnsi="Times New Roman" w:cs="Times New Roman"/>
          <w:sz w:val="24"/>
          <w:szCs w:val="24"/>
        </w:rPr>
        <w:t xml:space="preserve"> (in ton, ton-km, and revenue terms,</w:t>
      </w:r>
      <w:r w:rsidR="002C4F86">
        <w:rPr>
          <w:rFonts w:ascii="Times New Roman" w:hAnsi="Times New Roman" w:cs="Times New Roman"/>
          <w:sz w:val="24"/>
          <w:szCs w:val="24"/>
        </w:rPr>
        <w:t xml:space="preserve"> </w:t>
      </w:r>
      <w:r w:rsidR="0016443C">
        <w:rPr>
          <w:rFonts w:ascii="Times New Roman" w:hAnsi="Times New Roman" w:cs="Times New Roman"/>
          <w:sz w:val="24"/>
          <w:szCs w:val="24"/>
        </w:rPr>
        <w:t xml:space="preserve">private sector RU participation share, private sector RU </w:t>
      </w:r>
      <w:r w:rsidR="0016443C" w:rsidRPr="002C4F86">
        <w:rPr>
          <w:rFonts w:ascii="Times New Roman" w:hAnsi="Times New Roman" w:cs="Times New Roman"/>
          <w:i/>
          <w:iCs/>
          <w:sz w:val="24"/>
          <w:szCs w:val="24"/>
        </w:rPr>
        <w:t>for-hire</w:t>
      </w:r>
      <w:r w:rsidR="0016443C">
        <w:rPr>
          <w:rFonts w:ascii="Times New Roman" w:hAnsi="Times New Roman" w:cs="Times New Roman"/>
          <w:sz w:val="24"/>
          <w:szCs w:val="24"/>
        </w:rPr>
        <w:t xml:space="preserve"> participation share</w:t>
      </w:r>
      <w:r w:rsidR="002C4F86">
        <w:rPr>
          <w:rFonts w:ascii="Times New Roman" w:hAnsi="Times New Roman" w:cs="Times New Roman"/>
          <w:sz w:val="24"/>
          <w:szCs w:val="24"/>
        </w:rPr>
        <w:t>)</w:t>
      </w:r>
      <w:r w:rsidR="00504664">
        <w:rPr>
          <w:rFonts w:ascii="Times New Roman" w:hAnsi="Times New Roman" w:cs="Times New Roman"/>
          <w:sz w:val="24"/>
          <w:szCs w:val="24"/>
        </w:rPr>
        <w:t xml:space="preserve">, </w:t>
      </w:r>
      <w:r w:rsidR="002C4F86" w:rsidRPr="00F86AD0">
        <w:rPr>
          <w:rFonts w:ascii="Times New Roman" w:hAnsi="Times New Roman" w:cs="Times New Roman"/>
          <w:b/>
          <w:bCs/>
          <w:sz w:val="24"/>
          <w:szCs w:val="24"/>
        </w:rPr>
        <w:t>other indicators of</w:t>
      </w:r>
      <w:r w:rsidRPr="00F86AD0">
        <w:rPr>
          <w:rFonts w:ascii="Times New Roman" w:hAnsi="Times New Roman" w:cs="Times New Roman"/>
          <w:b/>
          <w:bCs/>
          <w:sz w:val="24"/>
          <w:szCs w:val="24"/>
        </w:rPr>
        <w:t xml:space="preserve"> private sector participation in service provision</w:t>
      </w:r>
      <w:r>
        <w:rPr>
          <w:rFonts w:ascii="Times New Roman" w:hAnsi="Times New Roman" w:cs="Times New Roman"/>
          <w:sz w:val="24"/>
          <w:szCs w:val="24"/>
        </w:rPr>
        <w:t xml:space="preserve">, </w:t>
      </w:r>
      <w:r w:rsidR="00460B73" w:rsidRPr="00F86AD0">
        <w:rPr>
          <w:rFonts w:ascii="Times New Roman" w:hAnsi="Times New Roman" w:cs="Times New Roman"/>
          <w:b/>
          <w:bCs/>
          <w:sz w:val="24"/>
          <w:szCs w:val="24"/>
        </w:rPr>
        <w:t xml:space="preserve">cost/investment </w:t>
      </w:r>
      <w:r w:rsidR="007B5144" w:rsidRPr="00F86AD0">
        <w:rPr>
          <w:rFonts w:ascii="Times New Roman" w:hAnsi="Times New Roman" w:cs="Times New Roman"/>
          <w:b/>
          <w:bCs/>
          <w:sz w:val="24"/>
          <w:szCs w:val="24"/>
        </w:rPr>
        <w:t xml:space="preserve">and network </w:t>
      </w:r>
      <w:r w:rsidR="002C4612">
        <w:rPr>
          <w:rFonts w:ascii="Times New Roman" w:hAnsi="Times New Roman" w:cs="Times New Roman"/>
          <w:b/>
          <w:bCs/>
          <w:sz w:val="24"/>
          <w:szCs w:val="24"/>
        </w:rPr>
        <w:t>utilization</w:t>
      </w:r>
      <w:r w:rsidR="007B5144" w:rsidRPr="00F86AD0">
        <w:rPr>
          <w:rFonts w:ascii="Times New Roman" w:hAnsi="Times New Roman" w:cs="Times New Roman"/>
          <w:b/>
          <w:bCs/>
          <w:sz w:val="24"/>
          <w:szCs w:val="24"/>
        </w:rPr>
        <w:t xml:space="preserve"> </w:t>
      </w:r>
      <w:r w:rsidR="00460B73" w:rsidRPr="00F86AD0">
        <w:rPr>
          <w:rFonts w:ascii="Times New Roman" w:hAnsi="Times New Roman" w:cs="Times New Roman"/>
          <w:b/>
          <w:bCs/>
          <w:sz w:val="24"/>
          <w:szCs w:val="24"/>
        </w:rPr>
        <w:t>parameters</w:t>
      </w:r>
      <w:r w:rsidR="00460B73">
        <w:rPr>
          <w:rFonts w:ascii="Times New Roman" w:hAnsi="Times New Roman" w:cs="Times New Roman"/>
          <w:sz w:val="24"/>
          <w:szCs w:val="24"/>
        </w:rPr>
        <w:t xml:space="preserve"> (</w:t>
      </w:r>
      <w:r w:rsidR="007B5144">
        <w:rPr>
          <w:rFonts w:ascii="Times New Roman" w:hAnsi="Times New Roman" w:cs="Times New Roman"/>
          <w:sz w:val="24"/>
          <w:szCs w:val="24"/>
        </w:rPr>
        <w:t>network maintenance expenditures per track-km, track capacity utilization,</w:t>
      </w:r>
      <w:r>
        <w:rPr>
          <w:rFonts w:ascii="Times New Roman" w:hAnsi="Times New Roman" w:cs="Times New Roman"/>
          <w:sz w:val="24"/>
          <w:szCs w:val="24"/>
        </w:rPr>
        <w:t xml:space="preserve"> network density, electrification incidence,</w:t>
      </w:r>
      <w:r w:rsidR="007B5144">
        <w:rPr>
          <w:rFonts w:ascii="Times New Roman" w:hAnsi="Times New Roman" w:cs="Times New Roman"/>
          <w:sz w:val="24"/>
          <w:szCs w:val="24"/>
        </w:rPr>
        <w:t xml:space="preserve"> </w:t>
      </w:r>
      <w:r w:rsidR="002C4612">
        <w:rPr>
          <w:rFonts w:ascii="Times New Roman" w:hAnsi="Times New Roman" w:cs="Times New Roman"/>
          <w:sz w:val="24"/>
          <w:szCs w:val="24"/>
        </w:rPr>
        <w:t xml:space="preserve">accidents incidence, </w:t>
      </w:r>
      <w:r w:rsidR="007B5144">
        <w:rPr>
          <w:rFonts w:ascii="Times New Roman" w:hAnsi="Times New Roman" w:cs="Times New Roman"/>
          <w:sz w:val="24"/>
          <w:szCs w:val="24"/>
        </w:rPr>
        <w:t>etc.</w:t>
      </w:r>
      <w:r>
        <w:rPr>
          <w:rFonts w:ascii="Times New Roman" w:hAnsi="Times New Roman" w:cs="Times New Roman"/>
          <w:sz w:val="24"/>
          <w:szCs w:val="24"/>
        </w:rPr>
        <w:t>)</w:t>
      </w:r>
      <w:r w:rsidR="002C4F86">
        <w:rPr>
          <w:rFonts w:ascii="Times New Roman" w:hAnsi="Times New Roman" w:cs="Times New Roman"/>
          <w:sz w:val="24"/>
          <w:szCs w:val="24"/>
        </w:rPr>
        <w:t>, and the like; furthermore, the Consultant will</w:t>
      </w:r>
      <w:r w:rsidR="00504664" w:rsidRPr="00005AAA">
        <w:rPr>
          <w:rFonts w:ascii="Times New Roman" w:hAnsi="Times New Roman" w:cs="Times New Roman"/>
          <w:sz w:val="24"/>
          <w:szCs w:val="24"/>
        </w:rPr>
        <w:t xml:space="preserve"> </w:t>
      </w:r>
      <w:r w:rsidR="00504664" w:rsidRPr="002C4612">
        <w:rPr>
          <w:rFonts w:ascii="Times New Roman" w:hAnsi="Times New Roman" w:cs="Times New Roman"/>
          <w:b/>
          <w:bCs/>
          <w:sz w:val="24"/>
          <w:szCs w:val="24"/>
        </w:rPr>
        <w:t xml:space="preserve">benchmark </w:t>
      </w:r>
      <w:r w:rsidR="0016443C" w:rsidRPr="002C4612">
        <w:rPr>
          <w:rFonts w:ascii="Times New Roman" w:hAnsi="Times New Roman" w:cs="Times New Roman"/>
          <w:b/>
          <w:bCs/>
          <w:sz w:val="24"/>
          <w:szCs w:val="24"/>
        </w:rPr>
        <w:t>these parameters</w:t>
      </w:r>
      <w:r w:rsidR="0016443C">
        <w:rPr>
          <w:rFonts w:ascii="Times New Roman" w:hAnsi="Times New Roman" w:cs="Times New Roman"/>
          <w:sz w:val="24"/>
          <w:szCs w:val="24"/>
        </w:rPr>
        <w:t xml:space="preserve"> </w:t>
      </w:r>
      <w:r w:rsidR="007B5144" w:rsidRPr="00005AAA">
        <w:rPr>
          <w:rFonts w:ascii="Times New Roman" w:hAnsi="Times New Roman" w:cs="Times New Roman"/>
          <w:sz w:val="24"/>
          <w:szCs w:val="24"/>
        </w:rPr>
        <w:t>relative to the</w:t>
      </w:r>
      <w:r w:rsidR="00504664" w:rsidRPr="00005AAA">
        <w:rPr>
          <w:rFonts w:ascii="Times New Roman" w:hAnsi="Times New Roman" w:cs="Times New Roman"/>
          <w:sz w:val="24"/>
          <w:szCs w:val="24"/>
        </w:rPr>
        <w:t xml:space="preserve"> chosen aspirational and peer comparators</w:t>
      </w:r>
      <w:r w:rsidR="007B5144" w:rsidRPr="00005AAA">
        <w:rPr>
          <w:rFonts w:ascii="Times New Roman" w:hAnsi="Times New Roman" w:cs="Times New Roman"/>
          <w:sz w:val="24"/>
          <w:szCs w:val="24"/>
        </w:rPr>
        <w:t xml:space="preserve">; the </w:t>
      </w:r>
      <w:r w:rsidR="00504664" w:rsidRPr="00005AAA">
        <w:rPr>
          <w:rFonts w:ascii="Times New Roman" w:hAnsi="Times New Roman" w:cs="Times New Roman"/>
          <w:sz w:val="24"/>
          <w:szCs w:val="24"/>
        </w:rPr>
        <w:t xml:space="preserve">list of </w:t>
      </w:r>
      <w:r w:rsidR="007B5144" w:rsidRPr="00005AAA">
        <w:rPr>
          <w:rFonts w:ascii="Times New Roman" w:hAnsi="Times New Roman" w:cs="Times New Roman"/>
          <w:sz w:val="24"/>
          <w:szCs w:val="24"/>
        </w:rPr>
        <w:t xml:space="preserve">performance indicators and country </w:t>
      </w:r>
      <w:r w:rsidR="00504664" w:rsidRPr="00005AAA">
        <w:rPr>
          <w:rFonts w:ascii="Times New Roman" w:hAnsi="Times New Roman" w:cs="Times New Roman"/>
          <w:sz w:val="24"/>
          <w:szCs w:val="24"/>
        </w:rPr>
        <w:t xml:space="preserve">comparators </w:t>
      </w:r>
      <w:r w:rsidR="007B5144" w:rsidRPr="00005AAA">
        <w:rPr>
          <w:rFonts w:ascii="Times New Roman" w:hAnsi="Times New Roman" w:cs="Times New Roman"/>
          <w:sz w:val="24"/>
          <w:szCs w:val="24"/>
        </w:rPr>
        <w:t>for the benchmarking exercise</w:t>
      </w:r>
      <w:r w:rsidR="002C4F86">
        <w:rPr>
          <w:rFonts w:ascii="Times New Roman" w:hAnsi="Times New Roman" w:cs="Times New Roman"/>
          <w:sz w:val="24"/>
          <w:szCs w:val="24"/>
        </w:rPr>
        <w:t xml:space="preserve"> </w:t>
      </w:r>
      <w:r w:rsidR="002C4612">
        <w:rPr>
          <w:rFonts w:ascii="Times New Roman" w:hAnsi="Times New Roman" w:cs="Times New Roman"/>
          <w:sz w:val="24"/>
          <w:szCs w:val="24"/>
        </w:rPr>
        <w:t>will</w:t>
      </w:r>
      <w:r w:rsidR="002C4F86">
        <w:rPr>
          <w:rFonts w:ascii="Times New Roman" w:hAnsi="Times New Roman" w:cs="Times New Roman"/>
          <w:sz w:val="24"/>
          <w:szCs w:val="24"/>
        </w:rPr>
        <w:t xml:space="preserve"> be carefully curated and justified in writing as to its rationale</w:t>
      </w:r>
      <w:r w:rsidR="007B5144" w:rsidRPr="00005AAA">
        <w:rPr>
          <w:rFonts w:ascii="Times New Roman" w:hAnsi="Times New Roman" w:cs="Times New Roman"/>
          <w:sz w:val="24"/>
          <w:szCs w:val="24"/>
        </w:rPr>
        <w:t xml:space="preserve"> by the Consultant</w:t>
      </w:r>
      <w:r w:rsidR="002C4F86">
        <w:rPr>
          <w:rFonts w:ascii="Times New Roman" w:hAnsi="Times New Roman" w:cs="Times New Roman"/>
          <w:sz w:val="24"/>
          <w:szCs w:val="24"/>
        </w:rPr>
        <w:t>,</w:t>
      </w:r>
      <w:r w:rsidR="007B5144" w:rsidRPr="00005AAA">
        <w:rPr>
          <w:rFonts w:ascii="Times New Roman" w:hAnsi="Times New Roman" w:cs="Times New Roman"/>
          <w:sz w:val="24"/>
          <w:szCs w:val="24"/>
        </w:rPr>
        <w:t xml:space="preserve"> and </w:t>
      </w:r>
      <w:r w:rsidR="002C4F86">
        <w:rPr>
          <w:rFonts w:ascii="Times New Roman" w:hAnsi="Times New Roman" w:cs="Times New Roman"/>
          <w:sz w:val="24"/>
          <w:szCs w:val="24"/>
        </w:rPr>
        <w:t xml:space="preserve">will be </w:t>
      </w:r>
      <w:r w:rsidR="00504664" w:rsidRPr="00005AAA">
        <w:rPr>
          <w:rFonts w:ascii="Times New Roman" w:hAnsi="Times New Roman" w:cs="Times New Roman"/>
          <w:sz w:val="24"/>
          <w:szCs w:val="24"/>
        </w:rPr>
        <w:t>agreed</w:t>
      </w:r>
      <w:r w:rsidR="007B5144" w:rsidRPr="00005AAA">
        <w:rPr>
          <w:rFonts w:ascii="Times New Roman" w:hAnsi="Times New Roman" w:cs="Times New Roman"/>
          <w:sz w:val="24"/>
          <w:szCs w:val="24"/>
        </w:rPr>
        <w:t xml:space="preserve"> as final</w:t>
      </w:r>
      <w:r w:rsidR="00504664" w:rsidRPr="00005AAA">
        <w:rPr>
          <w:rFonts w:ascii="Times New Roman" w:hAnsi="Times New Roman" w:cs="Times New Roman"/>
          <w:sz w:val="24"/>
          <w:szCs w:val="24"/>
        </w:rPr>
        <w:t xml:space="preserve"> between the Consultant and </w:t>
      </w:r>
      <w:r w:rsidR="007B5144" w:rsidRPr="00005AAA">
        <w:rPr>
          <w:rFonts w:ascii="Times New Roman" w:hAnsi="Times New Roman" w:cs="Times New Roman"/>
          <w:sz w:val="24"/>
          <w:szCs w:val="24"/>
        </w:rPr>
        <w:t>AYGM</w:t>
      </w:r>
      <w:r w:rsidR="00504664" w:rsidRPr="00005AAA">
        <w:rPr>
          <w:rFonts w:ascii="Times New Roman" w:hAnsi="Times New Roman" w:cs="Times New Roman"/>
          <w:sz w:val="24"/>
          <w:szCs w:val="24"/>
        </w:rPr>
        <w:t xml:space="preserve"> during implementation</w:t>
      </w:r>
      <w:r w:rsidR="007B5144" w:rsidRPr="00005AAA">
        <w:rPr>
          <w:rFonts w:ascii="Times New Roman" w:hAnsi="Times New Roman" w:cs="Times New Roman"/>
          <w:sz w:val="24"/>
          <w:szCs w:val="24"/>
        </w:rPr>
        <w:t xml:space="preserve">, </w:t>
      </w:r>
      <w:r w:rsidR="002C4F86">
        <w:rPr>
          <w:rFonts w:ascii="Times New Roman" w:hAnsi="Times New Roman" w:cs="Times New Roman"/>
          <w:sz w:val="24"/>
          <w:szCs w:val="24"/>
        </w:rPr>
        <w:t>subject to</w:t>
      </w:r>
      <w:r w:rsidR="007B5144" w:rsidRPr="00005AAA">
        <w:rPr>
          <w:rFonts w:ascii="Times New Roman" w:hAnsi="Times New Roman" w:cs="Times New Roman"/>
          <w:sz w:val="24"/>
          <w:szCs w:val="24"/>
        </w:rPr>
        <w:t xml:space="preserve"> comments by </w:t>
      </w:r>
      <w:r w:rsidR="002C4F86">
        <w:rPr>
          <w:rFonts w:ascii="Times New Roman" w:hAnsi="Times New Roman" w:cs="Times New Roman"/>
          <w:sz w:val="24"/>
          <w:szCs w:val="24"/>
        </w:rPr>
        <w:t xml:space="preserve">AYGM and </w:t>
      </w:r>
      <w:r w:rsidR="007B5144" w:rsidRPr="00005AAA">
        <w:rPr>
          <w:rFonts w:ascii="Times New Roman" w:hAnsi="Times New Roman" w:cs="Times New Roman"/>
          <w:sz w:val="24"/>
          <w:szCs w:val="24"/>
        </w:rPr>
        <w:t>the World Bank</w:t>
      </w:r>
      <w:r w:rsidR="00504664" w:rsidRPr="00005AAA">
        <w:rPr>
          <w:rFonts w:ascii="Times New Roman" w:hAnsi="Times New Roman" w:cs="Times New Roman"/>
          <w:sz w:val="24"/>
          <w:szCs w:val="24"/>
        </w:rPr>
        <w:t>;</w:t>
      </w:r>
      <w:r w:rsidR="002C4612">
        <w:rPr>
          <w:rFonts w:ascii="Times New Roman" w:hAnsi="Times New Roman" w:cs="Times New Roman"/>
          <w:sz w:val="24"/>
          <w:szCs w:val="24"/>
        </w:rPr>
        <w:t xml:space="preserve"> a key goal of this exercise is to arrive at a set of performance indicators that, in the aggregate, can be an actionable way to comprehensively define, measure, and inform decision making in rail freight sector performance;</w:t>
      </w:r>
      <w:r>
        <w:rPr>
          <w:rFonts w:ascii="Times New Roman" w:hAnsi="Times New Roman" w:cs="Times New Roman"/>
          <w:sz w:val="24"/>
          <w:szCs w:val="24"/>
        </w:rPr>
        <w:t xml:space="preserve"> </w:t>
      </w:r>
    </w:p>
    <w:p w14:paraId="37D0E18B" w14:textId="3E7ECBE2" w:rsidR="00005AAA" w:rsidRDefault="00005AAA" w:rsidP="00005AAA">
      <w:pPr>
        <w:pStyle w:val="ListeParagraf"/>
        <w:numPr>
          <w:ilvl w:val="0"/>
          <w:numId w:val="3"/>
        </w:numPr>
        <w:spacing w:after="120"/>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Using the same comparator countries as above, undertake </w:t>
      </w:r>
      <w:r w:rsidR="003B1BA1">
        <w:rPr>
          <w:rFonts w:ascii="Times New Roman" w:hAnsi="Times New Roman" w:cs="Times New Roman"/>
          <w:sz w:val="24"/>
          <w:szCs w:val="24"/>
        </w:rPr>
        <w:t>a</w:t>
      </w:r>
      <w:r w:rsidR="00460B73">
        <w:rPr>
          <w:rFonts w:ascii="Times New Roman" w:hAnsi="Times New Roman" w:cs="Times New Roman"/>
          <w:sz w:val="24"/>
          <w:szCs w:val="24"/>
        </w:rPr>
        <w:t xml:space="preserve"> benchmarking</w:t>
      </w:r>
      <w:r w:rsidR="003B1BA1">
        <w:rPr>
          <w:rFonts w:ascii="Times New Roman" w:hAnsi="Times New Roman" w:cs="Times New Roman"/>
          <w:sz w:val="24"/>
          <w:szCs w:val="24"/>
        </w:rPr>
        <w:t xml:space="preserve"> exercise</w:t>
      </w:r>
      <w:r w:rsidR="00460B73">
        <w:rPr>
          <w:rFonts w:ascii="Times New Roman" w:hAnsi="Times New Roman" w:cs="Times New Roman"/>
          <w:sz w:val="24"/>
          <w:szCs w:val="24"/>
        </w:rPr>
        <w:t xml:space="preserve"> </w:t>
      </w:r>
      <w:r w:rsidR="003B1BA1">
        <w:rPr>
          <w:rFonts w:ascii="Times New Roman" w:hAnsi="Times New Roman" w:cs="Times New Roman"/>
          <w:sz w:val="24"/>
          <w:szCs w:val="24"/>
        </w:rPr>
        <w:t xml:space="preserve">of </w:t>
      </w:r>
      <w:r w:rsidR="00460B73">
        <w:rPr>
          <w:rFonts w:ascii="Times New Roman" w:hAnsi="Times New Roman" w:cs="Times New Roman"/>
          <w:sz w:val="24"/>
          <w:szCs w:val="24"/>
        </w:rPr>
        <w:t>Türkiye’s</w:t>
      </w:r>
      <w:r w:rsidR="004C797B">
        <w:rPr>
          <w:rFonts w:ascii="Times New Roman" w:hAnsi="Times New Roman" w:cs="Times New Roman"/>
          <w:sz w:val="24"/>
          <w:szCs w:val="24"/>
        </w:rPr>
        <w:t xml:space="preserve"> </w:t>
      </w:r>
      <w:r w:rsidR="004C797B" w:rsidRPr="002C4612">
        <w:rPr>
          <w:rFonts w:ascii="Times New Roman" w:hAnsi="Times New Roman" w:cs="Times New Roman"/>
          <w:b/>
          <w:bCs/>
          <w:sz w:val="24"/>
          <w:szCs w:val="24"/>
        </w:rPr>
        <w:t>institutional and governance framework</w:t>
      </w:r>
      <w:r w:rsidR="00460B73">
        <w:rPr>
          <w:rFonts w:ascii="Times New Roman" w:hAnsi="Times New Roman" w:cs="Times New Roman"/>
          <w:sz w:val="24"/>
          <w:szCs w:val="24"/>
        </w:rPr>
        <w:t xml:space="preserve"> </w:t>
      </w:r>
      <w:r w:rsidR="004C797B">
        <w:rPr>
          <w:rFonts w:ascii="Times New Roman" w:hAnsi="Times New Roman" w:cs="Times New Roman"/>
          <w:sz w:val="24"/>
          <w:szCs w:val="24"/>
        </w:rPr>
        <w:t xml:space="preserve">for the </w:t>
      </w:r>
      <w:r w:rsidR="00460B73">
        <w:rPr>
          <w:rFonts w:ascii="Times New Roman" w:hAnsi="Times New Roman" w:cs="Times New Roman"/>
          <w:sz w:val="24"/>
          <w:szCs w:val="24"/>
        </w:rPr>
        <w:t>rail freight sector</w:t>
      </w:r>
      <w:r w:rsidR="003B1BA1">
        <w:rPr>
          <w:rFonts w:ascii="Times New Roman" w:hAnsi="Times New Roman" w:cs="Times New Roman"/>
          <w:sz w:val="24"/>
          <w:szCs w:val="24"/>
        </w:rPr>
        <w:t xml:space="preserve"> (sectoral structure, public sector organization and allocation of responsibilities</w:t>
      </w:r>
      <w:r w:rsidR="004C797B">
        <w:rPr>
          <w:rFonts w:ascii="Times New Roman" w:hAnsi="Times New Roman" w:cs="Times New Roman"/>
          <w:sz w:val="24"/>
          <w:szCs w:val="24"/>
        </w:rPr>
        <w:t>,</w:t>
      </w:r>
      <w:r w:rsidR="003B1BA1">
        <w:rPr>
          <w:rFonts w:ascii="Times New Roman" w:hAnsi="Times New Roman" w:cs="Times New Roman"/>
          <w:sz w:val="24"/>
          <w:szCs w:val="24"/>
        </w:rPr>
        <w:t xml:space="preserve"> key regulatory provisions governing the sector)</w:t>
      </w:r>
      <w:r w:rsidR="004C797B">
        <w:rPr>
          <w:rFonts w:ascii="Times New Roman" w:hAnsi="Times New Roman" w:cs="Times New Roman"/>
          <w:sz w:val="24"/>
          <w:szCs w:val="24"/>
        </w:rPr>
        <w:t xml:space="preserve"> compared</w:t>
      </w:r>
      <w:r w:rsidR="00460B73">
        <w:rPr>
          <w:rFonts w:ascii="Times New Roman" w:hAnsi="Times New Roman" w:cs="Times New Roman"/>
          <w:sz w:val="24"/>
          <w:szCs w:val="24"/>
        </w:rPr>
        <w:t xml:space="preserve"> </w:t>
      </w:r>
      <w:r w:rsidR="004C797B">
        <w:rPr>
          <w:rFonts w:ascii="Times New Roman" w:hAnsi="Times New Roman" w:cs="Times New Roman"/>
          <w:sz w:val="24"/>
          <w:szCs w:val="24"/>
        </w:rPr>
        <w:t xml:space="preserve">to </w:t>
      </w:r>
      <w:r w:rsidR="00460B73">
        <w:rPr>
          <w:rFonts w:ascii="Times New Roman" w:hAnsi="Times New Roman" w:cs="Times New Roman"/>
          <w:sz w:val="24"/>
          <w:szCs w:val="24"/>
        </w:rPr>
        <w:t xml:space="preserve">that of the chosen comparator </w:t>
      </w:r>
      <w:r w:rsidR="00E357E0">
        <w:rPr>
          <w:rFonts w:ascii="Times New Roman" w:hAnsi="Times New Roman" w:cs="Times New Roman"/>
          <w:sz w:val="24"/>
          <w:szCs w:val="24"/>
        </w:rPr>
        <w:t>countries.</w:t>
      </w:r>
    </w:p>
    <w:p w14:paraId="1C63A5DB" w14:textId="03D908D8" w:rsidR="00335D68" w:rsidRDefault="004C797B" w:rsidP="00A07823">
      <w:pPr>
        <w:pStyle w:val="ListeParagraf"/>
        <w:numPr>
          <w:ilvl w:val="0"/>
          <w:numId w:val="3"/>
        </w:numPr>
        <w:spacing w:after="360"/>
        <w:ind w:left="360"/>
        <w:contextualSpacing w:val="0"/>
        <w:jc w:val="both"/>
        <w:rPr>
          <w:rFonts w:ascii="Times New Roman" w:hAnsi="Times New Roman" w:cs="Times New Roman"/>
          <w:sz w:val="24"/>
          <w:szCs w:val="24"/>
        </w:rPr>
      </w:pPr>
      <w:r>
        <w:rPr>
          <w:rFonts w:ascii="Times New Roman" w:hAnsi="Times New Roman" w:cs="Times New Roman"/>
          <w:sz w:val="24"/>
          <w:szCs w:val="24"/>
        </w:rPr>
        <w:t xml:space="preserve">Assessment of </w:t>
      </w:r>
      <w:r w:rsidR="003B1BA1">
        <w:rPr>
          <w:rFonts w:ascii="Times New Roman" w:hAnsi="Times New Roman" w:cs="Times New Roman"/>
          <w:sz w:val="24"/>
          <w:szCs w:val="24"/>
        </w:rPr>
        <w:t xml:space="preserve">the </w:t>
      </w:r>
      <w:r>
        <w:rPr>
          <w:rFonts w:ascii="Times New Roman" w:hAnsi="Times New Roman" w:cs="Times New Roman"/>
          <w:sz w:val="24"/>
          <w:szCs w:val="24"/>
        </w:rPr>
        <w:t xml:space="preserve">national railway network </w:t>
      </w:r>
      <w:proofErr w:type="gramStart"/>
      <w:r>
        <w:rPr>
          <w:rFonts w:ascii="Times New Roman" w:hAnsi="Times New Roman" w:cs="Times New Roman"/>
          <w:sz w:val="24"/>
          <w:szCs w:val="24"/>
        </w:rPr>
        <w:t>with regard to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asset condition, and (ii) i</w:t>
      </w:r>
      <w:r w:rsidR="00335D68" w:rsidRPr="00335D68">
        <w:rPr>
          <w:rFonts w:ascii="Times New Roman" w:hAnsi="Times New Roman" w:cs="Times New Roman"/>
          <w:sz w:val="24"/>
          <w:szCs w:val="24"/>
        </w:rPr>
        <w:t>dentif</w:t>
      </w:r>
      <w:r w:rsidR="00335D68">
        <w:rPr>
          <w:rFonts w:ascii="Times New Roman" w:hAnsi="Times New Roman" w:cs="Times New Roman"/>
          <w:sz w:val="24"/>
          <w:szCs w:val="24"/>
        </w:rPr>
        <w:t xml:space="preserve">ication of rail </w:t>
      </w:r>
      <w:r w:rsidR="00335D68" w:rsidRPr="00335D68">
        <w:rPr>
          <w:rFonts w:ascii="Times New Roman" w:hAnsi="Times New Roman" w:cs="Times New Roman"/>
          <w:sz w:val="24"/>
          <w:szCs w:val="24"/>
        </w:rPr>
        <w:t>capacity bottlenecks</w:t>
      </w:r>
      <w:r w:rsidR="002C4612">
        <w:rPr>
          <w:rFonts w:ascii="Times New Roman" w:hAnsi="Times New Roman" w:cs="Times New Roman"/>
          <w:sz w:val="24"/>
          <w:szCs w:val="24"/>
        </w:rPr>
        <w:t>,</w:t>
      </w:r>
      <w:r w:rsidR="00335D68" w:rsidRPr="00335D68">
        <w:rPr>
          <w:rFonts w:ascii="Times New Roman" w:hAnsi="Times New Roman" w:cs="Times New Roman"/>
          <w:sz w:val="24"/>
          <w:szCs w:val="24"/>
        </w:rPr>
        <w:t xml:space="preserve"> sections requiring upgrading</w:t>
      </w:r>
      <w:r w:rsidR="002C4612">
        <w:rPr>
          <w:rFonts w:ascii="Times New Roman" w:hAnsi="Times New Roman" w:cs="Times New Roman"/>
          <w:sz w:val="24"/>
          <w:szCs w:val="24"/>
        </w:rPr>
        <w:t>, and freight hinterlands or key nodes that remain disconnected from the network</w:t>
      </w:r>
      <w:r>
        <w:rPr>
          <w:rFonts w:ascii="Times New Roman" w:hAnsi="Times New Roman" w:cs="Times New Roman"/>
          <w:sz w:val="24"/>
          <w:szCs w:val="24"/>
        </w:rPr>
        <w:t>.</w:t>
      </w:r>
      <w:r w:rsidR="002C4612">
        <w:rPr>
          <w:rFonts w:ascii="Times New Roman" w:hAnsi="Times New Roman" w:cs="Times New Roman"/>
          <w:sz w:val="24"/>
          <w:szCs w:val="24"/>
        </w:rPr>
        <w:t xml:space="preserve"> </w:t>
      </w:r>
    </w:p>
    <w:p w14:paraId="245CF77B" w14:textId="77777777" w:rsidR="002C4612" w:rsidRDefault="004C797B" w:rsidP="002C4F86">
      <w:pPr>
        <w:spacing w:after="240"/>
        <w:jc w:val="both"/>
        <w:rPr>
          <w:rFonts w:ascii="Times New Roman" w:hAnsi="Times New Roman" w:cs="Times New Roman"/>
          <w:sz w:val="24"/>
          <w:szCs w:val="24"/>
        </w:rPr>
      </w:pPr>
      <w:r>
        <w:rPr>
          <w:rFonts w:ascii="Times New Roman" w:hAnsi="Times New Roman" w:cs="Times New Roman"/>
          <w:sz w:val="24"/>
          <w:szCs w:val="24"/>
        </w:rPr>
        <w:t xml:space="preserve">In addition to presenting the above information </w:t>
      </w:r>
      <w:r w:rsidR="00A07823">
        <w:rPr>
          <w:rFonts w:ascii="Times New Roman" w:hAnsi="Times New Roman" w:cs="Times New Roman"/>
          <w:sz w:val="24"/>
          <w:szCs w:val="24"/>
        </w:rPr>
        <w:t>quantitatively and visually</w:t>
      </w:r>
      <w:r>
        <w:rPr>
          <w:rFonts w:ascii="Times New Roman" w:hAnsi="Times New Roman" w:cs="Times New Roman"/>
          <w:sz w:val="24"/>
          <w:szCs w:val="24"/>
        </w:rPr>
        <w:t>, S</w:t>
      </w:r>
      <w:r w:rsidR="00460B73" w:rsidRPr="00005AAA">
        <w:rPr>
          <w:rFonts w:ascii="Times New Roman" w:hAnsi="Times New Roman" w:cs="Times New Roman"/>
          <w:sz w:val="24"/>
          <w:szCs w:val="24"/>
        </w:rPr>
        <w:t>ub</w:t>
      </w:r>
      <w:r>
        <w:rPr>
          <w:rFonts w:ascii="Times New Roman" w:hAnsi="Times New Roman" w:cs="Times New Roman"/>
          <w:sz w:val="24"/>
          <w:szCs w:val="24"/>
        </w:rPr>
        <w:t>-t</w:t>
      </w:r>
      <w:r w:rsidR="00460B73" w:rsidRPr="00005AAA">
        <w:rPr>
          <w:rFonts w:ascii="Times New Roman" w:hAnsi="Times New Roman" w:cs="Times New Roman"/>
          <w:sz w:val="24"/>
          <w:szCs w:val="24"/>
        </w:rPr>
        <w:t xml:space="preserve">ask 1.1 will </w:t>
      </w:r>
      <w:r>
        <w:rPr>
          <w:rFonts w:ascii="Times New Roman" w:hAnsi="Times New Roman" w:cs="Times New Roman"/>
          <w:sz w:val="24"/>
          <w:szCs w:val="24"/>
        </w:rPr>
        <w:t>present</w:t>
      </w:r>
      <w:r w:rsidR="00460B73" w:rsidRPr="00005AAA">
        <w:rPr>
          <w:rFonts w:ascii="Times New Roman" w:hAnsi="Times New Roman" w:cs="Times New Roman"/>
          <w:sz w:val="24"/>
          <w:szCs w:val="24"/>
        </w:rPr>
        <w:t xml:space="preserve"> an aggregate assessment of </w:t>
      </w:r>
      <w:r>
        <w:rPr>
          <w:rFonts w:ascii="Times New Roman" w:hAnsi="Times New Roman" w:cs="Times New Roman"/>
          <w:sz w:val="24"/>
          <w:szCs w:val="24"/>
        </w:rPr>
        <w:t>what this</w:t>
      </w:r>
      <w:r w:rsidR="00460B73" w:rsidRPr="00005AAA">
        <w:rPr>
          <w:rFonts w:ascii="Times New Roman" w:hAnsi="Times New Roman" w:cs="Times New Roman"/>
          <w:sz w:val="24"/>
          <w:szCs w:val="24"/>
        </w:rPr>
        <w:t xml:space="preserve"> evidence </w:t>
      </w:r>
      <w:r>
        <w:rPr>
          <w:rFonts w:ascii="Times New Roman" w:hAnsi="Times New Roman" w:cs="Times New Roman"/>
          <w:sz w:val="24"/>
          <w:szCs w:val="24"/>
        </w:rPr>
        <w:t>suggests—in “so what” terms—</w:t>
      </w:r>
      <w:r w:rsidR="00460B73" w:rsidRPr="00005AAA">
        <w:rPr>
          <w:rFonts w:ascii="Times New Roman" w:hAnsi="Times New Roman" w:cs="Times New Roman"/>
          <w:sz w:val="24"/>
          <w:szCs w:val="24"/>
        </w:rPr>
        <w:t xml:space="preserve">and </w:t>
      </w:r>
      <w:r w:rsidR="00A552AD" w:rsidRPr="00005AAA">
        <w:rPr>
          <w:rFonts w:ascii="Times New Roman" w:hAnsi="Times New Roman" w:cs="Times New Roman"/>
          <w:sz w:val="24"/>
          <w:szCs w:val="24"/>
        </w:rPr>
        <w:t xml:space="preserve">will </w:t>
      </w:r>
      <w:r w:rsidR="00460B73" w:rsidRPr="00005AAA">
        <w:rPr>
          <w:rFonts w:ascii="Times New Roman" w:hAnsi="Times New Roman" w:cs="Times New Roman"/>
          <w:sz w:val="24"/>
          <w:szCs w:val="24"/>
        </w:rPr>
        <w:t>make a policy-relevant diagnostic of the current state of the rail freight sector in Türkiye</w:t>
      </w:r>
      <w:r w:rsidR="00A07823">
        <w:rPr>
          <w:rFonts w:ascii="Times New Roman" w:hAnsi="Times New Roman" w:cs="Times New Roman"/>
          <w:sz w:val="24"/>
          <w:szCs w:val="24"/>
        </w:rPr>
        <w:t>,</w:t>
      </w:r>
      <w:r w:rsidR="00A552AD" w:rsidRPr="00005AAA">
        <w:rPr>
          <w:rFonts w:ascii="Times New Roman" w:hAnsi="Times New Roman" w:cs="Times New Roman"/>
          <w:sz w:val="24"/>
          <w:szCs w:val="24"/>
        </w:rPr>
        <w:t xml:space="preserve"> </w:t>
      </w:r>
      <w:r w:rsidR="00460B73" w:rsidRPr="00005AAA">
        <w:rPr>
          <w:rFonts w:ascii="Times New Roman" w:hAnsi="Times New Roman" w:cs="Times New Roman"/>
          <w:sz w:val="24"/>
          <w:szCs w:val="24"/>
        </w:rPr>
        <w:t>its key strengths and opportunities for improvement</w:t>
      </w:r>
      <w:r w:rsidR="00A552AD" w:rsidRPr="00005AAA">
        <w:rPr>
          <w:rFonts w:ascii="Times New Roman" w:hAnsi="Times New Roman" w:cs="Times New Roman"/>
          <w:sz w:val="24"/>
          <w:szCs w:val="24"/>
        </w:rPr>
        <w:t>,</w:t>
      </w:r>
      <w:r w:rsidR="00460B73" w:rsidRPr="00005AAA">
        <w:rPr>
          <w:rFonts w:ascii="Times New Roman" w:hAnsi="Times New Roman" w:cs="Times New Roman"/>
          <w:sz w:val="24"/>
          <w:szCs w:val="24"/>
        </w:rPr>
        <w:t xml:space="preserve"> both in isolation and relative to comparator </w:t>
      </w:r>
      <w:r w:rsidR="00460B73" w:rsidRPr="00005AAA">
        <w:rPr>
          <w:rFonts w:ascii="Times New Roman" w:hAnsi="Times New Roman" w:cs="Times New Roman"/>
          <w:sz w:val="24"/>
          <w:szCs w:val="24"/>
        </w:rPr>
        <w:lastRenderedPageBreak/>
        <w:t>countries</w:t>
      </w:r>
      <w:r w:rsidR="00A552AD" w:rsidRPr="00005AAA">
        <w:rPr>
          <w:rFonts w:ascii="Times New Roman" w:hAnsi="Times New Roman" w:cs="Times New Roman"/>
          <w:sz w:val="24"/>
          <w:szCs w:val="24"/>
        </w:rPr>
        <w:t xml:space="preserve">. It will then articulate how these issues influence national logistics performance, such as </w:t>
      </w:r>
      <w:proofErr w:type="gramStart"/>
      <w:r w:rsidR="00A552AD" w:rsidRPr="00005AAA">
        <w:rPr>
          <w:rFonts w:ascii="Times New Roman" w:hAnsi="Times New Roman" w:cs="Times New Roman"/>
          <w:sz w:val="24"/>
          <w:szCs w:val="24"/>
        </w:rPr>
        <w:t>with regard to</w:t>
      </w:r>
      <w:proofErr w:type="gramEnd"/>
      <w:r w:rsidR="00A552AD" w:rsidRPr="00005AAA">
        <w:rPr>
          <w:rFonts w:ascii="Times New Roman" w:hAnsi="Times New Roman" w:cs="Times New Roman"/>
          <w:sz w:val="24"/>
          <w:szCs w:val="24"/>
        </w:rPr>
        <w:t xml:space="preserve"> logistics costs to the private sector</w:t>
      </w:r>
      <w:r w:rsidR="00460B73" w:rsidRPr="00005AAA">
        <w:rPr>
          <w:rFonts w:ascii="Times New Roman" w:hAnsi="Times New Roman" w:cs="Times New Roman"/>
          <w:sz w:val="24"/>
          <w:szCs w:val="24"/>
        </w:rPr>
        <w:t xml:space="preserve">. </w:t>
      </w:r>
    </w:p>
    <w:p w14:paraId="0E4E2DFB" w14:textId="6395ED39" w:rsidR="002C4612" w:rsidRPr="008F207F" w:rsidRDefault="00A552AD" w:rsidP="008F207F">
      <w:pPr>
        <w:spacing w:after="240"/>
        <w:jc w:val="both"/>
        <w:rPr>
          <w:rFonts w:ascii="Times New Roman" w:hAnsi="Times New Roman" w:cs="Times New Roman"/>
          <w:sz w:val="24"/>
          <w:szCs w:val="24"/>
        </w:rPr>
      </w:pPr>
      <w:r w:rsidRPr="00005AAA">
        <w:rPr>
          <w:rFonts w:ascii="Times New Roman" w:hAnsi="Times New Roman" w:cs="Times New Roman"/>
          <w:sz w:val="24"/>
          <w:szCs w:val="24"/>
        </w:rPr>
        <w:t>Sub-task 1.1</w:t>
      </w:r>
      <w:r w:rsidR="00460B73" w:rsidRPr="00005AAA">
        <w:rPr>
          <w:rFonts w:ascii="Times New Roman" w:hAnsi="Times New Roman" w:cs="Times New Roman"/>
          <w:sz w:val="24"/>
          <w:szCs w:val="24"/>
        </w:rPr>
        <w:t xml:space="preserve"> will conclude by pinpointing the root causes explaining the</w:t>
      </w:r>
      <w:r w:rsidRPr="00005AAA">
        <w:rPr>
          <w:rFonts w:ascii="Times New Roman" w:hAnsi="Times New Roman" w:cs="Times New Roman"/>
          <w:sz w:val="24"/>
          <w:szCs w:val="24"/>
        </w:rPr>
        <w:t xml:space="preserve"> key findings from the policy-relevant diagnostic, </w:t>
      </w:r>
      <w:r w:rsidR="00460B73" w:rsidRPr="00005AAA">
        <w:rPr>
          <w:rFonts w:ascii="Times New Roman" w:hAnsi="Times New Roman" w:cs="Times New Roman"/>
          <w:sz w:val="24"/>
          <w:szCs w:val="24"/>
        </w:rPr>
        <w:t xml:space="preserve">categorizing these root causes </w:t>
      </w:r>
      <w:r w:rsidRPr="00005AAA">
        <w:rPr>
          <w:rFonts w:ascii="Times New Roman" w:hAnsi="Times New Roman" w:cs="Times New Roman"/>
          <w:sz w:val="24"/>
          <w:szCs w:val="24"/>
        </w:rPr>
        <w:t>through a</w:t>
      </w:r>
      <w:r w:rsidR="00460B73" w:rsidRPr="00005AAA">
        <w:rPr>
          <w:rFonts w:ascii="Times New Roman" w:hAnsi="Times New Roman" w:cs="Times New Roman"/>
          <w:sz w:val="24"/>
          <w:szCs w:val="24"/>
        </w:rPr>
        <w:t xml:space="preserve"> prioritization</w:t>
      </w:r>
      <w:r w:rsidRPr="00005AAA">
        <w:rPr>
          <w:rFonts w:ascii="Times New Roman" w:hAnsi="Times New Roman" w:cs="Times New Roman"/>
          <w:sz w:val="24"/>
          <w:szCs w:val="24"/>
        </w:rPr>
        <w:t xml:space="preserve"> logic to be defined by the Consultant</w:t>
      </w:r>
      <w:r w:rsidR="00460B73" w:rsidRPr="00005AAA">
        <w:rPr>
          <w:rFonts w:ascii="Times New Roman" w:hAnsi="Times New Roman" w:cs="Times New Roman"/>
          <w:sz w:val="24"/>
          <w:szCs w:val="24"/>
        </w:rPr>
        <w:t xml:space="preserve">, for example based on urgency, criticality to </w:t>
      </w:r>
      <w:proofErr w:type="spellStart"/>
      <w:r w:rsidR="00460B73" w:rsidRPr="00005AAA">
        <w:rPr>
          <w:rFonts w:ascii="Times New Roman" w:hAnsi="Times New Roman" w:cs="Times New Roman"/>
          <w:sz w:val="24"/>
          <w:szCs w:val="24"/>
        </w:rPr>
        <w:t>GoT</w:t>
      </w:r>
      <w:proofErr w:type="spellEnd"/>
      <w:r w:rsidR="00460B73" w:rsidRPr="00005AAA">
        <w:rPr>
          <w:rFonts w:ascii="Times New Roman" w:hAnsi="Times New Roman" w:cs="Times New Roman"/>
          <w:sz w:val="24"/>
          <w:szCs w:val="24"/>
        </w:rPr>
        <w:t xml:space="preserve"> </w:t>
      </w:r>
      <w:r w:rsidRPr="00005AAA">
        <w:rPr>
          <w:rFonts w:ascii="Times New Roman" w:hAnsi="Times New Roman" w:cs="Times New Roman"/>
          <w:sz w:val="24"/>
          <w:szCs w:val="24"/>
        </w:rPr>
        <w:t xml:space="preserve">national </w:t>
      </w:r>
      <w:r w:rsidR="00460B73" w:rsidRPr="00005AAA">
        <w:rPr>
          <w:rFonts w:ascii="Times New Roman" w:hAnsi="Times New Roman" w:cs="Times New Roman"/>
          <w:sz w:val="24"/>
          <w:szCs w:val="24"/>
        </w:rPr>
        <w:t>goals, complexity/cost of resolution, and the like.</w:t>
      </w:r>
    </w:p>
    <w:p w14:paraId="594640F6" w14:textId="1D8EE75A" w:rsidR="00460B73" w:rsidRDefault="00460B73" w:rsidP="00460B73">
      <w:pPr>
        <w:jc w:val="both"/>
        <w:rPr>
          <w:rFonts w:ascii="Times New Roman" w:hAnsi="Times New Roman" w:cs="Times New Roman"/>
          <w:b/>
          <w:bCs/>
          <w:sz w:val="24"/>
          <w:szCs w:val="24"/>
        </w:rPr>
      </w:pPr>
      <w:r w:rsidRPr="00460B73">
        <w:rPr>
          <w:rFonts w:ascii="Times New Roman" w:hAnsi="Times New Roman" w:cs="Times New Roman"/>
          <w:b/>
          <w:bCs/>
          <w:sz w:val="24"/>
          <w:szCs w:val="24"/>
        </w:rPr>
        <w:t xml:space="preserve">Sub-task 1.2. Detailed Account of Best Practices </w:t>
      </w:r>
      <w:r w:rsidR="009A3329">
        <w:rPr>
          <w:rFonts w:ascii="Times New Roman" w:hAnsi="Times New Roman" w:cs="Times New Roman"/>
          <w:b/>
          <w:bCs/>
          <w:sz w:val="24"/>
          <w:szCs w:val="24"/>
        </w:rPr>
        <w:t xml:space="preserve">and Key Pitfalls </w:t>
      </w:r>
      <w:r w:rsidRPr="00460B73">
        <w:rPr>
          <w:rFonts w:ascii="Times New Roman" w:hAnsi="Times New Roman" w:cs="Times New Roman"/>
          <w:b/>
          <w:bCs/>
          <w:sz w:val="24"/>
          <w:szCs w:val="24"/>
        </w:rPr>
        <w:t>in Benchmarking Countries</w:t>
      </w:r>
    </w:p>
    <w:p w14:paraId="1B0ED932" w14:textId="77777777" w:rsidR="002C4612" w:rsidRDefault="00460B73" w:rsidP="00460B73">
      <w:pPr>
        <w:jc w:val="both"/>
        <w:rPr>
          <w:rFonts w:ascii="Times New Roman" w:hAnsi="Times New Roman" w:cs="Times New Roman"/>
          <w:sz w:val="24"/>
          <w:szCs w:val="24"/>
        </w:rPr>
      </w:pPr>
      <w:r>
        <w:rPr>
          <w:rFonts w:ascii="Times New Roman" w:hAnsi="Times New Roman" w:cs="Times New Roman"/>
          <w:sz w:val="24"/>
          <w:szCs w:val="24"/>
        </w:rPr>
        <w:t xml:space="preserve">Under Sub-task 1.2 the Consultant will develop a detailed account of </w:t>
      </w:r>
      <w:r w:rsidR="009A3329">
        <w:rPr>
          <w:rFonts w:ascii="Times New Roman" w:hAnsi="Times New Roman" w:cs="Times New Roman"/>
          <w:sz w:val="24"/>
          <w:szCs w:val="24"/>
        </w:rPr>
        <w:t>best</w:t>
      </w:r>
      <w:r>
        <w:rPr>
          <w:rFonts w:ascii="Times New Roman" w:hAnsi="Times New Roman" w:cs="Times New Roman"/>
          <w:sz w:val="24"/>
          <w:szCs w:val="24"/>
        </w:rPr>
        <w:t xml:space="preserve"> practices that have been </w:t>
      </w:r>
      <w:r w:rsidR="009A3329">
        <w:rPr>
          <w:rFonts w:ascii="Times New Roman" w:hAnsi="Times New Roman" w:cs="Times New Roman"/>
          <w:sz w:val="24"/>
          <w:szCs w:val="24"/>
        </w:rPr>
        <w:t xml:space="preserve">successfully </w:t>
      </w:r>
      <w:r>
        <w:rPr>
          <w:rFonts w:ascii="Times New Roman" w:hAnsi="Times New Roman" w:cs="Times New Roman"/>
          <w:sz w:val="24"/>
          <w:szCs w:val="24"/>
        </w:rPr>
        <w:t xml:space="preserve">implemented in the chosen benchmarking countries (aspirational and peer comparators) to support the development </w:t>
      </w:r>
      <w:r w:rsidR="002C4612">
        <w:rPr>
          <w:rFonts w:ascii="Times New Roman" w:hAnsi="Times New Roman" w:cs="Times New Roman"/>
          <w:sz w:val="24"/>
          <w:szCs w:val="24"/>
        </w:rPr>
        <w:t xml:space="preserve">and performance improvement </w:t>
      </w:r>
      <w:r>
        <w:rPr>
          <w:rFonts w:ascii="Times New Roman" w:hAnsi="Times New Roman" w:cs="Times New Roman"/>
          <w:sz w:val="24"/>
          <w:szCs w:val="24"/>
        </w:rPr>
        <w:t>of the rail freight sector</w:t>
      </w:r>
      <w:r w:rsidR="009A3329">
        <w:rPr>
          <w:rFonts w:ascii="Times New Roman" w:hAnsi="Times New Roman" w:cs="Times New Roman"/>
          <w:sz w:val="24"/>
          <w:szCs w:val="24"/>
        </w:rPr>
        <w:t>, which could potentially be considered for adoption in Türkiye</w:t>
      </w:r>
      <w:r>
        <w:rPr>
          <w:rFonts w:ascii="Times New Roman" w:hAnsi="Times New Roman" w:cs="Times New Roman"/>
          <w:sz w:val="24"/>
          <w:szCs w:val="24"/>
        </w:rPr>
        <w:t xml:space="preserve">. </w:t>
      </w:r>
    </w:p>
    <w:p w14:paraId="2D07137B" w14:textId="347E2873" w:rsidR="009A3329" w:rsidRDefault="00460B73" w:rsidP="00460B73">
      <w:pPr>
        <w:jc w:val="both"/>
        <w:rPr>
          <w:rFonts w:ascii="Times New Roman" w:hAnsi="Times New Roman" w:cs="Times New Roman"/>
          <w:sz w:val="24"/>
          <w:szCs w:val="24"/>
        </w:rPr>
      </w:pPr>
      <w:r>
        <w:rPr>
          <w:rFonts w:ascii="Times New Roman" w:hAnsi="Times New Roman" w:cs="Times New Roman"/>
          <w:sz w:val="24"/>
          <w:szCs w:val="24"/>
        </w:rPr>
        <w:t xml:space="preserve">This assessment will cover, but not be limited to, institutional </w:t>
      </w:r>
      <w:r w:rsidR="008F207F">
        <w:rPr>
          <w:rFonts w:ascii="Times New Roman" w:hAnsi="Times New Roman" w:cs="Times New Roman"/>
          <w:sz w:val="24"/>
          <w:szCs w:val="24"/>
        </w:rPr>
        <w:t>organization</w:t>
      </w:r>
      <w:r w:rsidR="002C4612">
        <w:rPr>
          <w:rFonts w:ascii="Times New Roman" w:hAnsi="Times New Roman" w:cs="Times New Roman"/>
          <w:sz w:val="24"/>
          <w:szCs w:val="24"/>
        </w:rPr>
        <w:t>;</w:t>
      </w:r>
      <w:r>
        <w:rPr>
          <w:rFonts w:ascii="Times New Roman" w:hAnsi="Times New Roman" w:cs="Times New Roman"/>
          <w:sz w:val="24"/>
          <w:szCs w:val="24"/>
        </w:rPr>
        <w:t xml:space="preserve"> regulatory </w:t>
      </w:r>
      <w:r w:rsidR="008F207F">
        <w:rPr>
          <w:rFonts w:ascii="Times New Roman" w:hAnsi="Times New Roman" w:cs="Times New Roman"/>
          <w:sz w:val="24"/>
          <w:szCs w:val="24"/>
        </w:rPr>
        <w:t xml:space="preserve">practices; pricing </w:t>
      </w:r>
      <w:r>
        <w:rPr>
          <w:rFonts w:ascii="Times New Roman" w:hAnsi="Times New Roman" w:cs="Times New Roman"/>
          <w:sz w:val="24"/>
          <w:szCs w:val="24"/>
        </w:rPr>
        <w:t>practices</w:t>
      </w:r>
      <w:r w:rsidR="002C4612">
        <w:rPr>
          <w:rFonts w:ascii="Times New Roman" w:hAnsi="Times New Roman" w:cs="Times New Roman"/>
          <w:sz w:val="24"/>
          <w:szCs w:val="24"/>
        </w:rPr>
        <w:t>;</w:t>
      </w:r>
      <w:r>
        <w:rPr>
          <w:rFonts w:ascii="Times New Roman" w:hAnsi="Times New Roman" w:cs="Times New Roman"/>
          <w:sz w:val="24"/>
          <w:szCs w:val="24"/>
        </w:rPr>
        <w:t xml:space="preserve"> </w:t>
      </w:r>
      <w:r w:rsidR="009A3329">
        <w:rPr>
          <w:rFonts w:ascii="Times New Roman" w:hAnsi="Times New Roman" w:cs="Times New Roman"/>
          <w:sz w:val="24"/>
          <w:szCs w:val="24"/>
        </w:rPr>
        <w:t>industry structure</w:t>
      </w:r>
      <w:r w:rsidR="002C4612">
        <w:rPr>
          <w:rFonts w:ascii="Times New Roman" w:hAnsi="Times New Roman" w:cs="Times New Roman"/>
          <w:sz w:val="24"/>
          <w:szCs w:val="24"/>
        </w:rPr>
        <w:t>;</w:t>
      </w:r>
      <w:r w:rsidR="009A3329">
        <w:rPr>
          <w:rFonts w:ascii="Times New Roman" w:hAnsi="Times New Roman" w:cs="Times New Roman"/>
          <w:sz w:val="24"/>
          <w:szCs w:val="24"/>
        </w:rPr>
        <w:t xml:space="preserve"> </w:t>
      </w:r>
      <w:r w:rsidR="002C4612">
        <w:rPr>
          <w:rFonts w:ascii="Times New Roman" w:hAnsi="Times New Roman" w:cs="Times New Roman"/>
          <w:sz w:val="24"/>
          <w:szCs w:val="24"/>
        </w:rPr>
        <w:t xml:space="preserve">rail freight service delivery </w:t>
      </w:r>
      <w:r w:rsidR="009A3329">
        <w:rPr>
          <w:rFonts w:ascii="Times New Roman" w:hAnsi="Times New Roman" w:cs="Times New Roman"/>
          <w:sz w:val="24"/>
          <w:szCs w:val="24"/>
        </w:rPr>
        <w:t>market entry/exit barriers</w:t>
      </w:r>
      <w:r w:rsidR="002C4612">
        <w:rPr>
          <w:rFonts w:ascii="Times New Roman" w:hAnsi="Times New Roman" w:cs="Times New Roman"/>
          <w:sz w:val="24"/>
          <w:szCs w:val="24"/>
        </w:rPr>
        <w:t>;</w:t>
      </w:r>
      <w:r w:rsidR="009A3329">
        <w:rPr>
          <w:rFonts w:ascii="Times New Roman" w:hAnsi="Times New Roman" w:cs="Times New Roman"/>
          <w:sz w:val="24"/>
          <w:szCs w:val="24"/>
        </w:rPr>
        <w:t xml:space="preserve"> practices to </w:t>
      </w:r>
      <w:r w:rsidR="002C4612">
        <w:rPr>
          <w:rFonts w:ascii="Times New Roman" w:hAnsi="Times New Roman" w:cs="Times New Roman"/>
          <w:sz w:val="24"/>
          <w:szCs w:val="24"/>
        </w:rPr>
        <w:t xml:space="preserve">enable a </w:t>
      </w:r>
      <w:r w:rsidR="009A3329">
        <w:rPr>
          <w:rFonts w:ascii="Times New Roman" w:hAnsi="Times New Roman" w:cs="Times New Roman"/>
          <w:sz w:val="24"/>
          <w:szCs w:val="24"/>
        </w:rPr>
        <w:t>level playing field among competitors in service provision</w:t>
      </w:r>
      <w:r w:rsidR="002C4612">
        <w:rPr>
          <w:rFonts w:ascii="Times New Roman" w:hAnsi="Times New Roman" w:cs="Times New Roman"/>
          <w:sz w:val="24"/>
          <w:szCs w:val="24"/>
        </w:rPr>
        <w:t xml:space="preserve"> (particularly between public incumbents and private entrants);</w:t>
      </w:r>
      <w:r w:rsidR="009A3329">
        <w:rPr>
          <w:rFonts w:ascii="Times New Roman" w:hAnsi="Times New Roman" w:cs="Times New Roman"/>
          <w:sz w:val="24"/>
          <w:szCs w:val="24"/>
        </w:rPr>
        <w:t xml:space="preserve"> </w:t>
      </w:r>
      <w:r w:rsidR="002C4612">
        <w:rPr>
          <w:rFonts w:ascii="Times New Roman" w:hAnsi="Times New Roman" w:cs="Times New Roman"/>
          <w:sz w:val="24"/>
          <w:szCs w:val="24"/>
        </w:rPr>
        <w:t xml:space="preserve">practices to facilitate private sector participation in the provision of railway infrastructure, including at the main line and last-mile level; </w:t>
      </w:r>
      <w:r w:rsidR="009A3329">
        <w:rPr>
          <w:rFonts w:ascii="Times New Roman" w:hAnsi="Times New Roman" w:cs="Times New Roman"/>
          <w:sz w:val="24"/>
          <w:szCs w:val="24"/>
        </w:rPr>
        <w:t>public sector subsidization practices</w:t>
      </w:r>
      <w:r w:rsidR="002C4612">
        <w:rPr>
          <w:rFonts w:ascii="Times New Roman" w:hAnsi="Times New Roman" w:cs="Times New Roman"/>
          <w:sz w:val="24"/>
          <w:szCs w:val="24"/>
        </w:rPr>
        <w:t>;</w:t>
      </w:r>
      <w:r w:rsidR="009A3329">
        <w:rPr>
          <w:rFonts w:ascii="Times New Roman" w:hAnsi="Times New Roman" w:cs="Times New Roman"/>
          <w:sz w:val="24"/>
          <w:szCs w:val="24"/>
        </w:rPr>
        <w:t xml:space="preserve"> public sector management practices</w:t>
      </w:r>
      <w:r w:rsidR="002C4612">
        <w:rPr>
          <w:rFonts w:ascii="Times New Roman" w:hAnsi="Times New Roman" w:cs="Times New Roman"/>
          <w:sz w:val="24"/>
          <w:szCs w:val="24"/>
        </w:rPr>
        <w:t>,</w:t>
      </w:r>
      <w:r w:rsidR="009A3329">
        <w:rPr>
          <w:rFonts w:ascii="Times New Roman" w:hAnsi="Times New Roman" w:cs="Times New Roman"/>
          <w:sz w:val="24"/>
          <w:szCs w:val="24"/>
        </w:rPr>
        <w:t xml:space="preserve"> such as infrastructure </w:t>
      </w:r>
      <w:r w:rsidR="002C4612">
        <w:rPr>
          <w:rFonts w:ascii="Times New Roman" w:hAnsi="Times New Roman" w:cs="Times New Roman"/>
          <w:sz w:val="24"/>
          <w:szCs w:val="24"/>
        </w:rPr>
        <w:t xml:space="preserve">contracts </w:t>
      </w:r>
      <w:r w:rsidR="009A3329">
        <w:rPr>
          <w:rFonts w:ascii="Times New Roman" w:hAnsi="Times New Roman" w:cs="Times New Roman"/>
          <w:sz w:val="24"/>
          <w:szCs w:val="24"/>
        </w:rPr>
        <w:t>and public sector obligation (PSO) contracts</w:t>
      </w:r>
      <w:r w:rsidR="002C4612">
        <w:rPr>
          <w:rFonts w:ascii="Times New Roman" w:hAnsi="Times New Roman" w:cs="Times New Roman"/>
          <w:sz w:val="24"/>
          <w:szCs w:val="24"/>
        </w:rPr>
        <w:t>;</w:t>
      </w:r>
      <w:r w:rsidR="009A3329">
        <w:rPr>
          <w:rFonts w:ascii="Times New Roman" w:hAnsi="Times New Roman" w:cs="Times New Roman"/>
          <w:sz w:val="24"/>
          <w:szCs w:val="24"/>
        </w:rPr>
        <w:t xml:space="preserve"> </w:t>
      </w:r>
      <w:r w:rsidR="008F207F">
        <w:rPr>
          <w:rFonts w:ascii="Times New Roman" w:hAnsi="Times New Roman" w:cs="Times New Roman"/>
          <w:sz w:val="24"/>
          <w:szCs w:val="24"/>
        </w:rPr>
        <w:t xml:space="preserve">asset management practices; </w:t>
      </w:r>
      <w:r w:rsidR="00E32E80">
        <w:rPr>
          <w:rFonts w:ascii="Times New Roman" w:hAnsi="Times New Roman" w:cs="Times New Roman"/>
          <w:sz w:val="24"/>
          <w:szCs w:val="24"/>
        </w:rPr>
        <w:t xml:space="preserve">rolling stock supply-demand management practices; last-mile and mainline infrastructure connectivity practices; </w:t>
      </w:r>
      <w:r w:rsidR="009A3329">
        <w:rPr>
          <w:rFonts w:ascii="Times New Roman" w:hAnsi="Times New Roman" w:cs="Times New Roman"/>
          <w:sz w:val="24"/>
          <w:szCs w:val="24"/>
        </w:rPr>
        <w:t>public sector monitoring and performance management practices</w:t>
      </w:r>
      <w:r w:rsidR="002C4612">
        <w:rPr>
          <w:rFonts w:ascii="Times New Roman" w:hAnsi="Times New Roman" w:cs="Times New Roman"/>
          <w:sz w:val="24"/>
          <w:szCs w:val="24"/>
        </w:rPr>
        <w:t>;</w:t>
      </w:r>
      <w:r w:rsidR="009A3329">
        <w:rPr>
          <w:rFonts w:ascii="Times New Roman" w:hAnsi="Times New Roman" w:cs="Times New Roman"/>
          <w:sz w:val="24"/>
          <w:szCs w:val="24"/>
        </w:rPr>
        <w:t xml:space="preserve"> private sector practices</w:t>
      </w:r>
      <w:r w:rsidR="002C4612">
        <w:rPr>
          <w:rFonts w:ascii="Times New Roman" w:hAnsi="Times New Roman" w:cs="Times New Roman"/>
          <w:sz w:val="24"/>
          <w:szCs w:val="24"/>
        </w:rPr>
        <w:t>;</w:t>
      </w:r>
      <w:r w:rsidR="009A3329">
        <w:rPr>
          <w:rFonts w:ascii="Times New Roman" w:hAnsi="Times New Roman" w:cs="Times New Roman"/>
          <w:sz w:val="24"/>
          <w:szCs w:val="24"/>
        </w:rPr>
        <w:t xml:space="preserve"> and the like. For each sub-topic/practice, this assessment will present the rationale for each (why this matters), provide detailed </w:t>
      </w:r>
      <w:r w:rsidR="002C4612">
        <w:rPr>
          <w:rFonts w:ascii="Times New Roman" w:hAnsi="Times New Roman" w:cs="Times New Roman"/>
          <w:sz w:val="24"/>
          <w:szCs w:val="24"/>
        </w:rPr>
        <w:t xml:space="preserve">case-study </w:t>
      </w:r>
      <w:r w:rsidR="009A3329">
        <w:rPr>
          <w:rFonts w:ascii="Times New Roman" w:hAnsi="Times New Roman" w:cs="Times New Roman"/>
          <w:sz w:val="24"/>
          <w:szCs w:val="24"/>
        </w:rPr>
        <w:t>examples, articulate the actual</w:t>
      </w:r>
      <w:r w:rsidR="002C4612">
        <w:rPr>
          <w:rFonts w:ascii="Times New Roman" w:hAnsi="Times New Roman" w:cs="Times New Roman"/>
          <w:sz w:val="24"/>
          <w:szCs w:val="24"/>
        </w:rPr>
        <w:t xml:space="preserve"> </w:t>
      </w:r>
      <w:r w:rsidR="009A3329">
        <w:rPr>
          <w:rFonts w:ascii="Times New Roman" w:hAnsi="Times New Roman" w:cs="Times New Roman"/>
          <w:sz w:val="24"/>
          <w:szCs w:val="24"/>
        </w:rPr>
        <w:t>/observed/quantified benefits from these practices, pinpoint their success factors and pre-requisites, explain responsible parties, and assess their relative complexity and time horizon for implementation and maturation.</w:t>
      </w:r>
      <w:r w:rsidR="008F207F">
        <w:rPr>
          <w:rFonts w:ascii="Times New Roman" w:hAnsi="Times New Roman" w:cs="Times New Roman"/>
          <w:sz w:val="24"/>
          <w:szCs w:val="24"/>
        </w:rPr>
        <w:t xml:space="preserve"> Wherever relevant, selected examples from international experience, outside the main benchmarking countries, should be used to complement the discussion across the sub-topics.</w:t>
      </w:r>
    </w:p>
    <w:p w14:paraId="55A424CC" w14:textId="6A6D798A" w:rsidR="009A3329" w:rsidRDefault="009A3329" w:rsidP="00460B73">
      <w:pPr>
        <w:jc w:val="both"/>
        <w:rPr>
          <w:rFonts w:ascii="Times New Roman" w:hAnsi="Times New Roman" w:cs="Times New Roman"/>
          <w:sz w:val="24"/>
          <w:szCs w:val="24"/>
        </w:rPr>
      </w:pPr>
      <w:r>
        <w:rPr>
          <w:rFonts w:ascii="Times New Roman" w:hAnsi="Times New Roman" w:cs="Times New Roman"/>
          <w:sz w:val="24"/>
          <w:szCs w:val="24"/>
        </w:rPr>
        <w:t>Similarly, under this Sub-task the Consultant will choose select examples of pitfalls and lessons learned in policy or market stewardship by the comparator countries, on approaches or practices that Türkiye should best avoid. The assessment will provide a similar level of detail as the above analysis of best practices, in terms of rationale (why this matters), examples, contextual factors, and ways in which the comparator countries ultimately dealt with these pitfalls and lessons learned.</w:t>
      </w:r>
    </w:p>
    <w:p w14:paraId="284DE5D4" w14:textId="7C21DEA9" w:rsidR="00460B73" w:rsidRDefault="009A3329" w:rsidP="00460B73">
      <w:pPr>
        <w:jc w:val="both"/>
        <w:rPr>
          <w:rFonts w:ascii="Times New Roman" w:hAnsi="Times New Roman" w:cs="Times New Roman"/>
          <w:b/>
          <w:bCs/>
          <w:sz w:val="24"/>
          <w:szCs w:val="24"/>
        </w:rPr>
      </w:pPr>
      <w:r w:rsidRPr="009A3329">
        <w:rPr>
          <w:rFonts w:ascii="Times New Roman" w:hAnsi="Times New Roman" w:cs="Times New Roman"/>
          <w:b/>
          <w:bCs/>
          <w:sz w:val="24"/>
          <w:szCs w:val="24"/>
        </w:rPr>
        <w:t xml:space="preserve">Sub-task 1.3. Detailed Account of Domestic Best Practices and Public and Private Sector Expectations for the Sector  </w:t>
      </w:r>
    </w:p>
    <w:p w14:paraId="40D1007C" w14:textId="36CBC5B5" w:rsidR="009A3329" w:rsidRDefault="009A3329" w:rsidP="00460B73">
      <w:pPr>
        <w:jc w:val="both"/>
        <w:rPr>
          <w:rFonts w:ascii="Times New Roman" w:hAnsi="Times New Roman" w:cs="Times New Roman"/>
          <w:sz w:val="24"/>
          <w:szCs w:val="24"/>
        </w:rPr>
      </w:pPr>
      <w:r>
        <w:rPr>
          <w:rFonts w:ascii="Times New Roman" w:hAnsi="Times New Roman" w:cs="Times New Roman"/>
          <w:sz w:val="24"/>
          <w:szCs w:val="24"/>
        </w:rPr>
        <w:t xml:space="preserve">Under this sub-task, the Consultant will assess best practices within the Turkish experience in rail freight operations and the rail freight market, which could be replicated at a larger scale. It will also assess, based on a </w:t>
      </w:r>
      <w:r w:rsidR="00707086">
        <w:rPr>
          <w:rFonts w:ascii="Times New Roman" w:hAnsi="Times New Roman" w:cs="Times New Roman"/>
          <w:sz w:val="24"/>
          <w:szCs w:val="24"/>
        </w:rPr>
        <w:t xml:space="preserve">significant program of interviews with </w:t>
      </w:r>
      <w:r w:rsidR="00005AAA">
        <w:rPr>
          <w:rFonts w:ascii="Times New Roman" w:hAnsi="Times New Roman" w:cs="Times New Roman"/>
          <w:sz w:val="24"/>
          <w:szCs w:val="24"/>
        </w:rPr>
        <w:t>Türkiye</w:t>
      </w:r>
      <w:r w:rsidR="00707086">
        <w:rPr>
          <w:rFonts w:ascii="Times New Roman" w:hAnsi="Times New Roman" w:cs="Times New Roman"/>
          <w:sz w:val="24"/>
          <w:szCs w:val="24"/>
        </w:rPr>
        <w:t xml:space="preserve">-based private sector shippers, carriers, logistics service providers, </w:t>
      </w:r>
      <w:r w:rsidR="00005AAA">
        <w:rPr>
          <w:rFonts w:ascii="Times New Roman" w:hAnsi="Times New Roman" w:cs="Times New Roman"/>
          <w:sz w:val="24"/>
          <w:szCs w:val="24"/>
        </w:rPr>
        <w:t xml:space="preserve">as well as with state-owned entities (e.g., TCDD), </w:t>
      </w:r>
      <w:r w:rsidR="00707086">
        <w:rPr>
          <w:rFonts w:ascii="Times New Roman" w:hAnsi="Times New Roman" w:cs="Times New Roman"/>
          <w:sz w:val="24"/>
          <w:szCs w:val="24"/>
        </w:rPr>
        <w:t xml:space="preserve">academics, and government officials, the </w:t>
      </w:r>
      <w:r w:rsidR="00005AAA">
        <w:rPr>
          <w:rFonts w:ascii="Times New Roman" w:hAnsi="Times New Roman" w:cs="Times New Roman"/>
          <w:sz w:val="24"/>
          <w:szCs w:val="24"/>
        </w:rPr>
        <w:t xml:space="preserve">policies, </w:t>
      </w:r>
      <w:r w:rsidR="00707086">
        <w:rPr>
          <w:rFonts w:ascii="Times New Roman" w:hAnsi="Times New Roman" w:cs="Times New Roman"/>
          <w:sz w:val="24"/>
          <w:szCs w:val="24"/>
        </w:rPr>
        <w:t>practices</w:t>
      </w:r>
      <w:r w:rsidR="00005AAA">
        <w:rPr>
          <w:rFonts w:ascii="Times New Roman" w:hAnsi="Times New Roman" w:cs="Times New Roman"/>
          <w:sz w:val="24"/>
          <w:szCs w:val="24"/>
        </w:rPr>
        <w:t xml:space="preserve">, and investment and modernization </w:t>
      </w:r>
      <w:r w:rsidR="00A67CBE">
        <w:rPr>
          <w:rFonts w:ascii="Times New Roman" w:hAnsi="Times New Roman" w:cs="Times New Roman"/>
          <w:sz w:val="24"/>
          <w:szCs w:val="24"/>
        </w:rPr>
        <w:t>interventions</w:t>
      </w:r>
      <w:r w:rsidR="00707086">
        <w:rPr>
          <w:rFonts w:ascii="Times New Roman" w:hAnsi="Times New Roman" w:cs="Times New Roman"/>
          <w:sz w:val="24"/>
          <w:szCs w:val="24"/>
        </w:rPr>
        <w:t xml:space="preserve"> these stakeholders would like to see adopted in the future. These desired practices</w:t>
      </w:r>
      <w:r w:rsidR="00005AAA">
        <w:rPr>
          <w:rFonts w:ascii="Times New Roman" w:hAnsi="Times New Roman" w:cs="Times New Roman"/>
          <w:sz w:val="24"/>
          <w:szCs w:val="24"/>
        </w:rPr>
        <w:t xml:space="preserve"> </w:t>
      </w:r>
      <w:r w:rsidR="00005AAA">
        <w:rPr>
          <w:rFonts w:ascii="Times New Roman" w:hAnsi="Times New Roman" w:cs="Times New Roman"/>
          <w:sz w:val="24"/>
          <w:szCs w:val="24"/>
        </w:rPr>
        <w:lastRenderedPageBreak/>
        <w:t>and approaches</w:t>
      </w:r>
      <w:r w:rsidR="00707086">
        <w:rPr>
          <w:rFonts w:ascii="Times New Roman" w:hAnsi="Times New Roman" w:cs="Times New Roman"/>
          <w:sz w:val="24"/>
          <w:szCs w:val="24"/>
        </w:rPr>
        <w:t xml:space="preserve"> will be prioritized and sequenced over time by the Consultant, and elaborated in detail as to rationale, implementation profile, key success factors, key pitfalls to avoid, likely cost and pre-requisites involved, and the like.</w:t>
      </w:r>
    </w:p>
    <w:p w14:paraId="2CA44548" w14:textId="7D25235C" w:rsidR="00A67CBE" w:rsidRPr="008F207F" w:rsidRDefault="00707086" w:rsidP="008F207F">
      <w:pPr>
        <w:spacing w:after="240"/>
        <w:jc w:val="both"/>
        <w:rPr>
          <w:rFonts w:ascii="Times New Roman" w:hAnsi="Times New Roman" w:cs="Times New Roman"/>
          <w:sz w:val="24"/>
          <w:szCs w:val="24"/>
        </w:rPr>
      </w:pPr>
      <w:r>
        <w:rPr>
          <w:rFonts w:ascii="Times New Roman" w:hAnsi="Times New Roman" w:cs="Times New Roman"/>
          <w:sz w:val="24"/>
          <w:szCs w:val="24"/>
        </w:rPr>
        <w:t xml:space="preserve">The Consultant will then reconcile the desired practices </w:t>
      </w:r>
      <w:r w:rsidR="00005AAA">
        <w:rPr>
          <w:rFonts w:ascii="Times New Roman" w:hAnsi="Times New Roman" w:cs="Times New Roman"/>
          <w:sz w:val="24"/>
          <w:szCs w:val="24"/>
        </w:rPr>
        <w:t xml:space="preserve">and approaches </w:t>
      </w:r>
      <w:r>
        <w:rPr>
          <w:rFonts w:ascii="Times New Roman" w:hAnsi="Times New Roman" w:cs="Times New Roman"/>
          <w:sz w:val="24"/>
          <w:szCs w:val="24"/>
        </w:rPr>
        <w:t xml:space="preserve">by Türkiye-based stakeholders with the </w:t>
      </w:r>
      <w:r w:rsidR="00005AAA">
        <w:rPr>
          <w:rFonts w:ascii="Times New Roman" w:hAnsi="Times New Roman" w:cs="Times New Roman"/>
          <w:sz w:val="24"/>
          <w:szCs w:val="24"/>
        </w:rPr>
        <w:t xml:space="preserve">international </w:t>
      </w:r>
      <w:r>
        <w:rPr>
          <w:rFonts w:ascii="Times New Roman" w:hAnsi="Times New Roman" w:cs="Times New Roman"/>
          <w:sz w:val="24"/>
          <w:szCs w:val="24"/>
        </w:rPr>
        <w:t xml:space="preserve">best practices (and pitfalls) developed under Sub-task </w:t>
      </w:r>
      <w:proofErr w:type="gramStart"/>
      <w:r>
        <w:rPr>
          <w:rFonts w:ascii="Times New Roman" w:hAnsi="Times New Roman" w:cs="Times New Roman"/>
          <w:sz w:val="24"/>
          <w:szCs w:val="24"/>
        </w:rPr>
        <w:t>1.2,</w:t>
      </w:r>
      <w:r w:rsidR="00A67CBE">
        <w:rPr>
          <w:rFonts w:ascii="Times New Roman" w:hAnsi="Times New Roman" w:cs="Times New Roman"/>
          <w:sz w:val="24"/>
          <w:szCs w:val="24"/>
        </w:rPr>
        <w:t xml:space="preserve"> and</w:t>
      </w:r>
      <w:proofErr w:type="gramEnd"/>
      <w:r w:rsidR="00A67CBE">
        <w:rPr>
          <w:rFonts w:ascii="Times New Roman" w:hAnsi="Times New Roman" w:cs="Times New Roman"/>
          <w:sz w:val="24"/>
          <w:szCs w:val="24"/>
        </w:rPr>
        <w:t xml:space="preserve"> assess their mutual consistency </w:t>
      </w:r>
      <w:r w:rsidR="00C732C1">
        <w:rPr>
          <w:rFonts w:ascii="Times New Roman" w:hAnsi="Times New Roman" w:cs="Times New Roman"/>
          <w:sz w:val="24"/>
          <w:szCs w:val="24"/>
        </w:rPr>
        <w:t>and</w:t>
      </w:r>
      <w:r w:rsidR="00A67CBE">
        <w:rPr>
          <w:rFonts w:ascii="Times New Roman" w:hAnsi="Times New Roman" w:cs="Times New Roman"/>
          <w:sz w:val="24"/>
          <w:szCs w:val="24"/>
        </w:rPr>
        <w:t xml:space="preserve"> gaps thereof.</w:t>
      </w:r>
    </w:p>
    <w:p w14:paraId="483DD13E" w14:textId="32B03314" w:rsidR="00707086" w:rsidRPr="00707086" w:rsidRDefault="00707086" w:rsidP="00460B73">
      <w:pPr>
        <w:jc w:val="both"/>
        <w:rPr>
          <w:rFonts w:ascii="Times New Roman" w:hAnsi="Times New Roman" w:cs="Times New Roman"/>
          <w:b/>
          <w:bCs/>
          <w:sz w:val="24"/>
          <w:szCs w:val="24"/>
        </w:rPr>
      </w:pPr>
      <w:r w:rsidRPr="00707086">
        <w:rPr>
          <w:rFonts w:ascii="Times New Roman" w:hAnsi="Times New Roman" w:cs="Times New Roman"/>
          <w:b/>
          <w:bCs/>
          <w:sz w:val="24"/>
          <w:szCs w:val="24"/>
        </w:rPr>
        <w:t>Sub-task 1.4. Modeling of Rail Freight Sector Potential</w:t>
      </w:r>
    </w:p>
    <w:p w14:paraId="3425F857" w14:textId="6B403B5D" w:rsidR="002C4F86" w:rsidRDefault="00707086" w:rsidP="00460B73">
      <w:pPr>
        <w:jc w:val="both"/>
        <w:rPr>
          <w:rFonts w:ascii="Times New Roman" w:hAnsi="Times New Roman" w:cs="Times New Roman"/>
          <w:sz w:val="24"/>
          <w:szCs w:val="24"/>
        </w:rPr>
      </w:pPr>
      <w:r>
        <w:rPr>
          <w:rFonts w:ascii="Times New Roman" w:hAnsi="Times New Roman" w:cs="Times New Roman"/>
          <w:sz w:val="24"/>
          <w:szCs w:val="24"/>
        </w:rPr>
        <w:t xml:space="preserve">Under this Sub-task the Consultant will develop a </w:t>
      </w:r>
      <w:r w:rsidR="00A67CBE">
        <w:rPr>
          <w:rFonts w:ascii="Times New Roman" w:hAnsi="Times New Roman" w:cs="Times New Roman"/>
          <w:sz w:val="24"/>
          <w:szCs w:val="24"/>
        </w:rPr>
        <w:t xml:space="preserve">spreadsheet-based, simplified </w:t>
      </w:r>
      <w:r w:rsidR="002C4F86">
        <w:rPr>
          <w:rFonts w:ascii="Times New Roman" w:hAnsi="Times New Roman" w:cs="Times New Roman"/>
          <w:sz w:val="24"/>
          <w:szCs w:val="24"/>
        </w:rPr>
        <w:t>freight flow model of Türkiye</w:t>
      </w:r>
      <w:r>
        <w:rPr>
          <w:rFonts w:ascii="Times New Roman" w:hAnsi="Times New Roman" w:cs="Times New Roman"/>
          <w:sz w:val="24"/>
          <w:szCs w:val="24"/>
        </w:rPr>
        <w:t xml:space="preserve"> to estimate the future potential growth, commodity mix, and performance trajectory of Türkiye’s rail freight sector</w:t>
      </w:r>
      <w:r w:rsidR="00A67CBE">
        <w:rPr>
          <w:rFonts w:ascii="Times New Roman" w:hAnsi="Times New Roman" w:cs="Times New Roman"/>
          <w:sz w:val="24"/>
          <w:szCs w:val="24"/>
        </w:rPr>
        <w:t xml:space="preserve"> under different policy scenarios compared to a </w:t>
      </w:r>
      <w:r>
        <w:rPr>
          <w:rFonts w:ascii="Times New Roman" w:hAnsi="Times New Roman" w:cs="Times New Roman"/>
          <w:sz w:val="24"/>
          <w:szCs w:val="24"/>
        </w:rPr>
        <w:t xml:space="preserve">do-minimum/status quo </w:t>
      </w:r>
      <w:r w:rsidR="00005AAA">
        <w:rPr>
          <w:rFonts w:ascii="Times New Roman" w:hAnsi="Times New Roman" w:cs="Times New Roman"/>
          <w:sz w:val="24"/>
          <w:szCs w:val="24"/>
        </w:rPr>
        <w:t>base</w:t>
      </w:r>
      <w:r w:rsidR="00A67CBE">
        <w:rPr>
          <w:rFonts w:ascii="Times New Roman" w:hAnsi="Times New Roman" w:cs="Times New Roman"/>
          <w:sz w:val="24"/>
          <w:szCs w:val="24"/>
        </w:rPr>
        <w:t>line</w:t>
      </w:r>
      <w:r>
        <w:rPr>
          <w:rFonts w:ascii="Times New Roman" w:hAnsi="Times New Roman" w:cs="Times New Roman"/>
          <w:sz w:val="24"/>
          <w:szCs w:val="24"/>
        </w:rPr>
        <w:t>.</w:t>
      </w:r>
      <w:r w:rsidR="00C732C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C45D169" w14:textId="4C14AD3B" w:rsidR="00A67CBE" w:rsidRDefault="00707086" w:rsidP="00460B73">
      <w:pPr>
        <w:jc w:val="both"/>
        <w:rPr>
          <w:rFonts w:ascii="Times New Roman" w:hAnsi="Times New Roman" w:cs="Times New Roman"/>
          <w:sz w:val="24"/>
          <w:szCs w:val="24"/>
        </w:rPr>
      </w:pPr>
      <w:r>
        <w:rPr>
          <w:rFonts w:ascii="Times New Roman" w:hAnsi="Times New Roman" w:cs="Times New Roman"/>
          <w:sz w:val="24"/>
          <w:szCs w:val="24"/>
        </w:rPr>
        <w:t>While prospective Consultants will be free to propose their modeling methodolog</w:t>
      </w:r>
      <w:r w:rsidR="002C4F86">
        <w:rPr>
          <w:rFonts w:ascii="Times New Roman" w:hAnsi="Times New Roman" w:cs="Times New Roman"/>
          <w:sz w:val="24"/>
          <w:szCs w:val="24"/>
        </w:rPr>
        <w:t>y</w:t>
      </w:r>
      <w:r>
        <w:rPr>
          <w:rFonts w:ascii="Times New Roman" w:hAnsi="Times New Roman" w:cs="Times New Roman"/>
          <w:sz w:val="24"/>
          <w:szCs w:val="24"/>
        </w:rPr>
        <w:t xml:space="preserve"> as part of their technical proposals, </w:t>
      </w:r>
      <w:r w:rsidR="00A67CBE">
        <w:rPr>
          <w:rFonts w:ascii="Times New Roman" w:hAnsi="Times New Roman" w:cs="Times New Roman"/>
          <w:sz w:val="24"/>
          <w:szCs w:val="24"/>
        </w:rPr>
        <w:t xml:space="preserve">the aim of this sub-task is to produce an intuitive, ‘what-if’ enabled spreadsheet model that can help clarify the likely </w:t>
      </w:r>
      <w:r w:rsidR="00C732C1">
        <w:rPr>
          <w:rFonts w:ascii="Times New Roman" w:hAnsi="Times New Roman" w:cs="Times New Roman"/>
          <w:sz w:val="24"/>
          <w:szCs w:val="24"/>
        </w:rPr>
        <w:t xml:space="preserve">order of magnitude of the </w:t>
      </w:r>
      <w:r w:rsidR="00A67CBE">
        <w:rPr>
          <w:rFonts w:ascii="Times New Roman" w:hAnsi="Times New Roman" w:cs="Times New Roman"/>
          <w:sz w:val="24"/>
          <w:szCs w:val="24"/>
        </w:rPr>
        <w:t>impact</w:t>
      </w:r>
      <w:r w:rsidR="00C732C1">
        <w:rPr>
          <w:rFonts w:ascii="Times New Roman" w:hAnsi="Times New Roman" w:cs="Times New Roman"/>
          <w:sz w:val="24"/>
          <w:szCs w:val="24"/>
        </w:rPr>
        <w:t>s</w:t>
      </w:r>
      <w:r w:rsidR="00A67CBE">
        <w:rPr>
          <w:rFonts w:ascii="Times New Roman" w:hAnsi="Times New Roman" w:cs="Times New Roman"/>
          <w:sz w:val="24"/>
          <w:szCs w:val="24"/>
        </w:rPr>
        <w:t xml:space="preserve"> </w:t>
      </w:r>
      <w:r w:rsidR="00C732C1">
        <w:rPr>
          <w:rFonts w:ascii="Times New Roman" w:hAnsi="Times New Roman" w:cs="Times New Roman"/>
          <w:sz w:val="24"/>
          <w:szCs w:val="24"/>
        </w:rPr>
        <w:t>that can be expected from</w:t>
      </w:r>
      <w:r w:rsidR="00A67CBE">
        <w:rPr>
          <w:rFonts w:ascii="Times New Roman" w:hAnsi="Times New Roman" w:cs="Times New Roman"/>
          <w:sz w:val="24"/>
          <w:szCs w:val="24"/>
        </w:rPr>
        <w:t xml:space="preserve"> implementing some of the best practices and desired interventions identified in</w:t>
      </w:r>
      <w:r w:rsidR="00C313CD">
        <w:rPr>
          <w:rFonts w:ascii="Times New Roman" w:hAnsi="Times New Roman" w:cs="Times New Roman"/>
          <w:sz w:val="24"/>
          <w:szCs w:val="24"/>
        </w:rPr>
        <w:t xml:space="preserve"> S</w:t>
      </w:r>
      <w:r w:rsidR="00A67CBE">
        <w:rPr>
          <w:rFonts w:ascii="Times New Roman" w:hAnsi="Times New Roman" w:cs="Times New Roman"/>
          <w:sz w:val="24"/>
          <w:szCs w:val="24"/>
        </w:rPr>
        <w:t xml:space="preserve">ub-tasks 1.2 and 1.3, </w:t>
      </w:r>
      <w:r w:rsidR="00C732C1">
        <w:rPr>
          <w:rFonts w:ascii="Times New Roman" w:hAnsi="Times New Roman" w:cs="Times New Roman"/>
          <w:sz w:val="24"/>
          <w:szCs w:val="24"/>
        </w:rPr>
        <w:t xml:space="preserve">introduced as policy packages under different scenarios to be conceptualized by the Consultant and ultimately approved by AYGM, and subject to comments by the World Bank.  The model will be expected to have 2025 (or 2024) as base </w:t>
      </w:r>
      <w:r w:rsidR="00E357E0">
        <w:rPr>
          <w:rFonts w:ascii="Times New Roman" w:hAnsi="Times New Roman" w:cs="Times New Roman"/>
          <w:sz w:val="24"/>
          <w:szCs w:val="24"/>
        </w:rPr>
        <w:t>year and</w:t>
      </w:r>
      <w:r w:rsidR="00C732C1">
        <w:rPr>
          <w:rFonts w:ascii="Times New Roman" w:hAnsi="Times New Roman" w:cs="Times New Roman"/>
          <w:sz w:val="24"/>
          <w:szCs w:val="24"/>
        </w:rPr>
        <w:t xml:space="preserve"> include annual projections through 2053.</w:t>
      </w:r>
    </w:p>
    <w:p w14:paraId="31A81568" w14:textId="77777777" w:rsidR="00C732C1" w:rsidRDefault="00C732C1" w:rsidP="00C732C1">
      <w:pPr>
        <w:jc w:val="both"/>
        <w:rPr>
          <w:rFonts w:ascii="Times New Roman" w:hAnsi="Times New Roman" w:cs="Times New Roman"/>
          <w:sz w:val="24"/>
          <w:szCs w:val="24"/>
        </w:rPr>
      </w:pPr>
      <w:r>
        <w:rPr>
          <w:rFonts w:ascii="Times New Roman" w:hAnsi="Times New Roman" w:cs="Times New Roman"/>
          <w:sz w:val="24"/>
          <w:szCs w:val="24"/>
        </w:rPr>
        <w:t xml:space="preserve">Prospective consultants should explain in their proposed modeling methodology the specific outputs that their spreadsheet model will be expected to produce. These outputs should match, as much as possible, a well-selected subset of the key performance indicators developed under Sub-task 1.1. For example, modeling </w:t>
      </w:r>
      <w:r w:rsidR="00FF14A4">
        <w:rPr>
          <w:rFonts w:ascii="Times New Roman" w:hAnsi="Times New Roman" w:cs="Times New Roman"/>
          <w:sz w:val="24"/>
          <w:szCs w:val="24"/>
        </w:rPr>
        <w:t xml:space="preserve">output </w:t>
      </w:r>
      <w:r>
        <w:rPr>
          <w:rFonts w:ascii="Times New Roman" w:hAnsi="Times New Roman" w:cs="Times New Roman"/>
          <w:sz w:val="24"/>
          <w:szCs w:val="24"/>
        </w:rPr>
        <w:t>could</w:t>
      </w:r>
      <w:r w:rsidR="00FF14A4">
        <w:rPr>
          <w:rFonts w:ascii="Times New Roman" w:hAnsi="Times New Roman" w:cs="Times New Roman"/>
          <w:sz w:val="24"/>
          <w:szCs w:val="24"/>
        </w:rPr>
        <w:t xml:space="preserve"> include annual projections for rail </w:t>
      </w:r>
      <w:r w:rsidR="009B4BD7">
        <w:rPr>
          <w:rFonts w:ascii="Times New Roman" w:hAnsi="Times New Roman" w:cs="Times New Roman"/>
          <w:sz w:val="24"/>
          <w:szCs w:val="24"/>
        </w:rPr>
        <w:t xml:space="preserve">and trucking </w:t>
      </w:r>
      <w:r w:rsidR="00FF14A4">
        <w:rPr>
          <w:rFonts w:ascii="Times New Roman" w:hAnsi="Times New Roman" w:cs="Times New Roman"/>
          <w:sz w:val="24"/>
          <w:szCs w:val="24"/>
        </w:rPr>
        <w:t>freight volumes (ton, ton-km, TEUs), railway undertaking revenues, track access charge revenues, and truck and rail ton, ton-km, TEU and revenue market shares, as well as one or more service delivery performance metrics, such as transport/logistics costs changes, changes in travel times between key O-D pairs, and the like.</w:t>
      </w:r>
      <w:r w:rsidR="009B4BD7">
        <w:rPr>
          <w:rFonts w:ascii="Times New Roman" w:hAnsi="Times New Roman" w:cs="Times New Roman"/>
          <w:sz w:val="24"/>
          <w:szCs w:val="24"/>
        </w:rPr>
        <w:t xml:space="preserve"> </w:t>
      </w:r>
    </w:p>
    <w:p w14:paraId="1CBE81DF" w14:textId="16014EDD" w:rsidR="00A552AD" w:rsidRPr="0016443C" w:rsidRDefault="00C732C1" w:rsidP="00C732C1">
      <w:pPr>
        <w:spacing w:after="360"/>
        <w:jc w:val="both"/>
        <w:rPr>
          <w:rFonts w:ascii="Times New Roman" w:hAnsi="Times New Roman" w:cs="Times New Roman"/>
          <w:sz w:val="24"/>
          <w:szCs w:val="24"/>
        </w:rPr>
      </w:pPr>
      <w:r>
        <w:rPr>
          <w:rFonts w:ascii="Times New Roman" w:hAnsi="Times New Roman" w:cs="Times New Roman"/>
          <w:sz w:val="24"/>
          <w:szCs w:val="24"/>
        </w:rPr>
        <w:t>The deliverable for Sub-task 1.4 will include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w:t>
      </w:r>
      <w:r w:rsidR="009B4BD7">
        <w:rPr>
          <w:rFonts w:ascii="Times New Roman" w:hAnsi="Times New Roman" w:cs="Times New Roman"/>
          <w:sz w:val="24"/>
          <w:szCs w:val="24"/>
        </w:rPr>
        <w:t xml:space="preserve"> detailed explanation of modeling output and its implications</w:t>
      </w:r>
      <w:r>
        <w:rPr>
          <w:rFonts w:ascii="Times New Roman" w:hAnsi="Times New Roman" w:cs="Times New Roman"/>
          <w:sz w:val="24"/>
          <w:szCs w:val="24"/>
        </w:rPr>
        <w:t xml:space="preserve"> and key conclusions</w:t>
      </w:r>
      <w:r w:rsidR="009B4BD7">
        <w:rPr>
          <w:rFonts w:ascii="Times New Roman" w:hAnsi="Times New Roman" w:cs="Times New Roman"/>
          <w:sz w:val="24"/>
          <w:szCs w:val="24"/>
        </w:rPr>
        <w:t>,</w:t>
      </w:r>
      <w:r>
        <w:rPr>
          <w:rFonts w:ascii="Times New Roman" w:hAnsi="Times New Roman" w:cs="Times New Roman"/>
          <w:sz w:val="24"/>
          <w:szCs w:val="24"/>
        </w:rPr>
        <w:t xml:space="preserve"> and</w:t>
      </w:r>
      <w:r w:rsidR="009B4BD7">
        <w:rPr>
          <w:rFonts w:ascii="Times New Roman" w:hAnsi="Times New Roman" w:cs="Times New Roman"/>
          <w:sz w:val="24"/>
          <w:szCs w:val="24"/>
        </w:rPr>
        <w:t xml:space="preserve"> </w:t>
      </w:r>
      <w:r>
        <w:rPr>
          <w:rFonts w:ascii="Times New Roman" w:hAnsi="Times New Roman" w:cs="Times New Roman"/>
          <w:sz w:val="24"/>
          <w:szCs w:val="24"/>
        </w:rPr>
        <w:t xml:space="preserve">(ii) a </w:t>
      </w:r>
      <w:r w:rsidR="009B4BD7">
        <w:rPr>
          <w:rFonts w:ascii="Times New Roman" w:hAnsi="Times New Roman" w:cs="Times New Roman"/>
          <w:sz w:val="24"/>
          <w:szCs w:val="24"/>
        </w:rPr>
        <w:t>detailed explanation of the modeling methodology, assumptions, scenarios, and key parameters</w:t>
      </w:r>
      <w:r>
        <w:rPr>
          <w:rFonts w:ascii="Times New Roman" w:hAnsi="Times New Roman" w:cs="Times New Roman"/>
          <w:sz w:val="24"/>
          <w:szCs w:val="24"/>
        </w:rPr>
        <w:t>. The</w:t>
      </w:r>
      <w:r w:rsidR="009B4BD7">
        <w:rPr>
          <w:rFonts w:ascii="Times New Roman" w:hAnsi="Times New Roman" w:cs="Times New Roman"/>
          <w:sz w:val="24"/>
          <w:szCs w:val="24"/>
        </w:rPr>
        <w:t xml:space="preserve"> Consultant will </w:t>
      </w:r>
      <w:r>
        <w:rPr>
          <w:rFonts w:ascii="Times New Roman" w:hAnsi="Times New Roman" w:cs="Times New Roman"/>
          <w:sz w:val="24"/>
          <w:szCs w:val="24"/>
        </w:rPr>
        <w:t>also explain and transfer the spreadsheet model</w:t>
      </w:r>
      <w:r w:rsidR="00EA218A">
        <w:rPr>
          <w:rFonts w:ascii="Times New Roman" w:hAnsi="Times New Roman" w:cs="Times New Roman"/>
          <w:sz w:val="24"/>
          <w:szCs w:val="24"/>
        </w:rPr>
        <w:t>, as a self-contained MS Excel file,</w:t>
      </w:r>
      <w:r>
        <w:rPr>
          <w:rFonts w:ascii="Times New Roman" w:hAnsi="Times New Roman" w:cs="Times New Roman"/>
          <w:sz w:val="24"/>
          <w:szCs w:val="24"/>
        </w:rPr>
        <w:t xml:space="preserve"> to AYGM</w:t>
      </w:r>
      <w:r w:rsidR="00EA218A">
        <w:rPr>
          <w:rFonts w:ascii="Times New Roman" w:hAnsi="Times New Roman" w:cs="Times New Roman"/>
          <w:sz w:val="24"/>
          <w:szCs w:val="24"/>
        </w:rPr>
        <w:t>, and train a select group of AYGM staff on the model’s inner working and functionality</w:t>
      </w:r>
      <w:r w:rsidR="009B4BD7">
        <w:rPr>
          <w:rFonts w:ascii="Times New Roman" w:hAnsi="Times New Roman" w:cs="Times New Roman"/>
          <w:sz w:val="24"/>
          <w:szCs w:val="24"/>
        </w:rPr>
        <w:t>.</w:t>
      </w:r>
    </w:p>
    <w:p w14:paraId="5296C6E4" w14:textId="7F3B3072" w:rsidR="00FF14A4" w:rsidRPr="00FF14A4" w:rsidRDefault="00FF14A4" w:rsidP="00460B73">
      <w:pPr>
        <w:jc w:val="both"/>
        <w:rPr>
          <w:rFonts w:ascii="Times New Roman" w:hAnsi="Times New Roman" w:cs="Times New Roman"/>
          <w:b/>
          <w:bCs/>
          <w:sz w:val="24"/>
          <w:szCs w:val="24"/>
        </w:rPr>
      </w:pPr>
      <w:r w:rsidRPr="00FF14A4">
        <w:rPr>
          <w:rFonts w:ascii="Times New Roman" w:hAnsi="Times New Roman" w:cs="Times New Roman"/>
          <w:b/>
          <w:bCs/>
          <w:sz w:val="24"/>
          <w:szCs w:val="24"/>
        </w:rPr>
        <w:t>Sub-Task 1.5. Strategic Recommendations</w:t>
      </w:r>
    </w:p>
    <w:p w14:paraId="1F6FDC57" w14:textId="794C1206" w:rsidR="00FF14A4" w:rsidRDefault="00FF14A4" w:rsidP="00FF14A4">
      <w:pPr>
        <w:jc w:val="both"/>
        <w:rPr>
          <w:rFonts w:ascii="Times New Roman" w:hAnsi="Times New Roman" w:cs="Times New Roman"/>
          <w:sz w:val="24"/>
          <w:szCs w:val="24"/>
        </w:rPr>
      </w:pPr>
      <w:r>
        <w:rPr>
          <w:rFonts w:ascii="Times New Roman" w:hAnsi="Times New Roman" w:cs="Times New Roman"/>
          <w:sz w:val="24"/>
          <w:szCs w:val="24"/>
        </w:rPr>
        <w:t>Under this Sub-task, the Consultant will provide a</w:t>
      </w:r>
      <w:r w:rsidR="00C313CD">
        <w:rPr>
          <w:rFonts w:ascii="Times New Roman" w:hAnsi="Times New Roman" w:cs="Times New Roman"/>
          <w:sz w:val="24"/>
          <w:szCs w:val="24"/>
        </w:rPr>
        <w:t xml:space="preserve">n </w:t>
      </w:r>
      <w:r w:rsidR="00C313CD" w:rsidRPr="00C313CD">
        <w:rPr>
          <w:rFonts w:ascii="Times New Roman" w:hAnsi="Times New Roman" w:cs="Times New Roman"/>
          <w:b/>
          <w:bCs/>
          <w:sz w:val="24"/>
          <w:szCs w:val="24"/>
        </w:rPr>
        <w:t>Action Plan</w:t>
      </w:r>
      <w:r w:rsidR="00C313CD">
        <w:rPr>
          <w:rFonts w:ascii="Times New Roman" w:hAnsi="Times New Roman" w:cs="Times New Roman"/>
          <w:sz w:val="24"/>
          <w:szCs w:val="24"/>
        </w:rPr>
        <w:t xml:space="preserve"> of</w:t>
      </w:r>
      <w:r>
        <w:rPr>
          <w:rFonts w:ascii="Times New Roman" w:hAnsi="Times New Roman" w:cs="Times New Roman"/>
          <w:sz w:val="24"/>
          <w:szCs w:val="24"/>
        </w:rPr>
        <w:t xml:space="preserve"> prioritized, sequenced, </w:t>
      </w:r>
      <w:r w:rsidR="00C732C1">
        <w:rPr>
          <w:rFonts w:ascii="Times New Roman" w:hAnsi="Times New Roman" w:cs="Times New Roman"/>
          <w:sz w:val="24"/>
          <w:szCs w:val="24"/>
        </w:rPr>
        <w:t xml:space="preserve">and </w:t>
      </w:r>
      <w:r>
        <w:rPr>
          <w:rFonts w:ascii="Times New Roman" w:hAnsi="Times New Roman" w:cs="Times New Roman"/>
          <w:sz w:val="24"/>
          <w:szCs w:val="24"/>
        </w:rPr>
        <w:t xml:space="preserve">contextualized recommendations </w:t>
      </w:r>
      <w:r w:rsidR="00C732C1">
        <w:rPr>
          <w:rFonts w:ascii="Times New Roman" w:hAnsi="Times New Roman" w:cs="Times New Roman"/>
          <w:sz w:val="24"/>
          <w:szCs w:val="24"/>
        </w:rPr>
        <w:t xml:space="preserve">based on the findings of </w:t>
      </w:r>
      <w:r w:rsidR="00C313CD">
        <w:rPr>
          <w:rFonts w:ascii="Times New Roman" w:hAnsi="Times New Roman" w:cs="Times New Roman"/>
          <w:sz w:val="24"/>
          <w:szCs w:val="24"/>
        </w:rPr>
        <w:t>S</w:t>
      </w:r>
      <w:r w:rsidR="00C732C1">
        <w:rPr>
          <w:rFonts w:ascii="Times New Roman" w:hAnsi="Times New Roman" w:cs="Times New Roman"/>
          <w:sz w:val="24"/>
          <w:szCs w:val="24"/>
        </w:rPr>
        <w:t>ub-tasks 1.2</w:t>
      </w:r>
      <w:r w:rsidR="00C313CD">
        <w:rPr>
          <w:rFonts w:ascii="Times New Roman" w:hAnsi="Times New Roman" w:cs="Times New Roman"/>
          <w:sz w:val="24"/>
          <w:szCs w:val="24"/>
        </w:rPr>
        <w:t xml:space="preserve"> and </w:t>
      </w:r>
      <w:r w:rsidR="00E357E0">
        <w:rPr>
          <w:rFonts w:ascii="Times New Roman" w:hAnsi="Times New Roman" w:cs="Times New Roman"/>
          <w:sz w:val="24"/>
          <w:szCs w:val="24"/>
        </w:rPr>
        <w:t>1.3 and</w:t>
      </w:r>
      <w:r>
        <w:rPr>
          <w:rFonts w:ascii="Times New Roman" w:hAnsi="Times New Roman" w:cs="Times New Roman"/>
          <w:sz w:val="24"/>
          <w:szCs w:val="24"/>
        </w:rPr>
        <w:t xml:space="preserve"> informed by the </w:t>
      </w:r>
      <w:r w:rsidR="00C313CD">
        <w:rPr>
          <w:rFonts w:ascii="Times New Roman" w:hAnsi="Times New Roman" w:cs="Times New Roman"/>
          <w:sz w:val="24"/>
          <w:szCs w:val="24"/>
        </w:rPr>
        <w:t>modeling findings</w:t>
      </w:r>
      <w:r>
        <w:rPr>
          <w:rFonts w:ascii="Times New Roman" w:hAnsi="Times New Roman" w:cs="Times New Roman"/>
          <w:sz w:val="24"/>
          <w:szCs w:val="24"/>
        </w:rPr>
        <w:t xml:space="preserve"> of Sub-task 1.4. These recommendations should:</w:t>
      </w:r>
    </w:p>
    <w:p w14:paraId="29766187" w14:textId="535BB0D5" w:rsidR="00FF14A4" w:rsidRDefault="00FF14A4" w:rsidP="00005AAA">
      <w:pPr>
        <w:pStyle w:val="ListeParagraf"/>
        <w:numPr>
          <w:ilvl w:val="0"/>
          <w:numId w:val="5"/>
        </w:numPr>
        <w:spacing w:after="120"/>
        <w:ind w:left="274" w:hanging="274"/>
        <w:contextualSpacing w:val="0"/>
        <w:jc w:val="both"/>
        <w:rPr>
          <w:rFonts w:ascii="Times New Roman" w:hAnsi="Times New Roman" w:cs="Times New Roman"/>
          <w:sz w:val="24"/>
          <w:szCs w:val="24"/>
        </w:rPr>
      </w:pPr>
      <w:r w:rsidRPr="00FF14A4">
        <w:rPr>
          <w:rFonts w:ascii="Times New Roman" w:hAnsi="Times New Roman" w:cs="Times New Roman"/>
          <w:sz w:val="24"/>
          <w:szCs w:val="24"/>
        </w:rPr>
        <w:lastRenderedPageBreak/>
        <w:t xml:space="preserve">Articulate actionable, evidence-based strategies to enhance Türkiye’s rail freight </w:t>
      </w:r>
      <w:r w:rsidR="00C313CD">
        <w:rPr>
          <w:rFonts w:ascii="Times New Roman" w:hAnsi="Times New Roman" w:cs="Times New Roman"/>
          <w:sz w:val="24"/>
          <w:szCs w:val="24"/>
        </w:rPr>
        <w:t>performance,</w:t>
      </w:r>
      <w:r w:rsidRPr="00FF14A4">
        <w:rPr>
          <w:rFonts w:ascii="Times New Roman" w:hAnsi="Times New Roman" w:cs="Times New Roman"/>
          <w:sz w:val="24"/>
          <w:szCs w:val="24"/>
        </w:rPr>
        <w:t xml:space="preserve"> addressing identified challenges and leveraging best </w:t>
      </w:r>
      <w:r w:rsidR="00E357E0" w:rsidRPr="00FF14A4">
        <w:rPr>
          <w:rFonts w:ascii="Times New Roman" w:hAnsi="Times New Roman" w:cs="Times New Roman"/>
          <w:sz w:val="24"/>
          <w:szCs w:val="24"/>
        </w:rPr>
        <w:t>practices.</w:t>
      </w:r>
    </w:p>
    <w:p w14:paraId="2029C181" w14:textId="12088817" w:rsidR="00FF14A4" w:rsidRDefault="00FF14A4" w:rsidP="00005AAA">
      <w:pPr>
        <w:pStyle w:val="ListeParagraf"/>
        <w:numPr>
          <w:ilvl w:val="0"/>
          <w:numId w:val="5"/>
        </w:numPr>
        <w:spacing w:after="120"/>
        <w:ind w:left="274" w:hanging="274"/>
        <w:contextualSpacing w:val="0"/>
        <w:jc w:val="both"/>
        <w:rPr>
          <w:rFonts w:ascii="Times New Roman" w:hAnsi="Times New Roman" w:cs="Times New Roman"/>
          <w:sz w:val="24"/>
          <w:szCs w:val="24"/>
        </w:rPr>
      </w:pPr>
      <w:r w:rsidRPr="00FF14A4">
        <w:rPr>
          <w:rFonts w:ascii="Times New Roman" w:hAnsi="Times New Roman" w:cs="Times New Roman"/>
          <w:sz w:val="24"/>
          <w:szCs w:val="24"/>
        </w:rPr>
        <w:t xml:space="preserve">Explain how these recommendations are linked to the </w:t>
      </w:r>
      <w:r w:rsidR="00A41FC3">
        <w:rPr>
          <w:rFonts w:ascii="Times New Roman" w:hAnsi="Times New Roman" w:cs="Times New Roman"/>
          <w:sz w:val="24"/>
          <w:szCs w:val="24"/>
        </w:rPr>
        <w:t>core</w:t>
      </w:r>
      <w:r w:rsidRPr="00FF14A4">
        <w:rPr>
          <w:rFonts w:ascii="Times New Roman" w:hAnsi="Times New Roman" w:cs="Times New Roman"/>
          <w:sz w:val="24"/>
          <w:szCs w:val="24"/>
        </w:rPr>
        <w:t xml:space="preserve"> </w:t>
      </w:r>
      <w:proofErr w:type="spellStart"/>
      <w:r w:rsidR="00A41FC3">
        <w:rPr>
          <w:rFonts w:ascii="Times New Roman" w:hAnsi="Times New Roman" w:cs="Times New Roman"/>
          <w:sz w:val="24"/>
          <w:szCs w:val="24"/>
        </w:rPr>
        <w:t>GoT</w:t>
      </w:r>
      <w:proofErr w:type="spellEnd"/>
      <w:r w:rsidR="00A41FC3">
        <w:rPr>
          <w:rFonts w:ascii="Times New Roman" w:hAnsi="Times New Roman" w:cs="Times New Roman"/>
          <w:sz w:val="24"/>
          <w:szCs w:val="24"/>
        </w:rPr>
        <w:t xml:space="preserve"> </w:t>
      </w:r>
      <w:r w:rsidRPr="00FF14A4">
        <w:rPr>
          <w:rFonts w:ascii="Times New Roman" w:hAnsi="Times New Roman" w:cs="Times New Roman"/>
          <w:sz w:val="24"/>
          <w:szCs w:val="24"/>
        </w:rPr>
        <w:t>goal</w:t>
      </w:r>
      <w:r w:rsidR="00A41FC3">
        <w:rPr>
          <w:rFonts w:ascii="Times New Roman" w:hAnsi="Times New Roman" w:cs="Times New Roman"/>
          <w:sz w:val="24"/>
          <w:szCs w:val="24"/>
        </w:rPr>
        <w:t>s</w:t>
      </w:r>
      <w:r w:rsidRPr="00FF14A4">
        <w:rPr>
          <w:rFonts w:ascii="Times New Roman" w:hAnsi="Times New Roman" w:cs="Times New Roman"/>
          <w:sz w:val="24"/>
          <w:szCs w:val="24"/>
        </w:rPr>
        <w:t xml:space="preserve"> of </w:t>
      </w:r>
      <w:r w:rsidR="00A41FC3">
        <w:rPr>
          <w:rFonts w:ascii="Times New Roman" w:hAnsi="Times New Roman" w:cs="Times New Roman"/>
          <w:sz w:val="24"/>
          <w:szCs w:val="24"/>
        </w:rPr>
        <w:t>(</w:t>
      </w:r>
      <w:proofErr w:type="spellStart"/>
      <w:r w:rsidR="00A41FC3">
        <w:rPr>
          <w:rFonts w:ascii="Times New Roman" w:hAnsi="Times New Roman" w:cs="Times New Roman"/>
          <w:sz w:val="24"/>
          <w:szCs w:val="24"/>
        </w:rPr>
        <w:t>i</w:t>
      </w:r>
      <w:proofErr w:type="spellEnd"/>
      <w:r w:rsidR="00A41FC3">
        <w:rPr>
          <w:rFonts w:ascii="Times New Roman" w:hAnsi="Times New Roman" w:cs="Times New Roman"/>
          <w:sz w:val="24"/>
          <w:szCs w:val="24"/>
        </w:rPr>
        <w:t xml:space="preserve">) </w:t>
      </w:r>
      <w:r w:rsidRPr="00FF14A4">
        <w:rPr>
          <w:rFonts w:ascii="Times New Roman" w:hAnsi="Times New Roman" w:cs="Times New Roman"/>
          <w:sz w:val="24"/>
          <w:szCs w:val="24"/>
        </w:rPr>
        <w:t>growing the Turkish rail freight market</w:t>
      </w:r>
      <w:r w:rsidR="00A41FC3">
        <w:rPr>
          <w:rFonts w:ascii="Times New Roman" w:hAnsi="Times New Roman" w:cs="Times New Roman"/>
          <w:sz w:val="24"/>
          <w:szCs w:val="24"/>
        </w:rPr>
        <w:t>, (ii)</w:t>
      </w:r>
      <w:r w:rsidRPr="00FF14A4">
        <w:rPr>
          <w:rFonts w:ascii="Times New Roman" w:hAnsi="Times New Roman" w:cs="Times New Roman"/>
          <w:sz w:val="24"/>
          <w:szCs w:val="24"/>
        </w:rPr>
        <w:t xml:space="preserve"> </w:t>
      </w:r>
      <w:r w:rsidR="00A41FC3">
        <w:rPr>
          <w:rFonts w:ascii="Times New Roman" w:hAnsi="Times New Roman" w:cs="Times New Roman"/>
          <w:sz w:val="24"/>
          <w:szCs w:val="24"/>
        </w:rPr>
        <w:t>increasing private sector participation in this market</w:t>
      </w:r>
      <w:r w:rsidR="00C313CD">
        <w:rPr>
          <w:rFonts w:ascii="Times New Roman" w:hAnsi="Times New Roman" w:cs="Times New Roman"/>
          <w:sz w:val="24"/>
          <w:szCs w:val="24"/>
        </w:rPr>
        <w:t xml:space="preserve"> for both service delivery and infrastructure provision</w:t>
      </w:r>
      <w:r w:rsidR="00A41FC3">
        <w:rPr>
          <w:rFonts w:ascii="Times New Roman" w:hAnsi="Times New Roman" w:cs="Times New Roman"/>
          <w:sz w:val="24"/>
          <w:szCs w:val="24"/>
        </w:rPr>
        <w:t xml:space="preserve">, and (iii) </w:t>
      </w:r>
      <w:r w:rsidRPr="00FF14A4">
        <w:rPr>
          <w:rFonts w:ascii="Times New Roman" w:hAnsi="Times New Roman" w:cs="Times New Roman"/>
          <w:sz w:val="24"/>
          <w:szCs w:val="24"/>
        </w:rPr>
        <w:t xml:space="preserve">improving </w:t>
      </w:r>
      <w:r w:rsidR="00A41FC3">
        <w:rPr>
          <w:rFonts w:ascii="Times New Roman" w:hAnsi="Times New Roman" w:cs="Times New Roman"/>
          <w:sz w:val="24"/>
          <w:szCs w:val="24"/>
        </w:rPr>
        <w:t>overall sectoral</w:t>
      </w:r>
      <w:r w:rsidRPr="00FF14A4">
        <w:rPr>
          <w:rFonts w:ascii="Times New Roman" w:hAnsi="Times New Roman" w:cs="Times New Roman"/>
          <w:sz w:val="24"/>
          <w:szCs w:val="24"/>
        </w:rPr>
        <w:t xml:space="preserve"> </w:t>
      </w:r>
      <w:r w:rsidR="00E357E0" w:rsidRPr="00FF14A4">
        <w:rPr>
          <w:rFonts w:ascii="Times New Roman" w:hAnsi="Times New Roman" w:cs="Times New Roman"/>
          <w:sz w:val="24"/>
          <w:szCs w:val="24"/>
        </w:rPr>
        <w:t>performance.</w:t>
      </w:r>
    </w:p>
    <w:p w14:paraId="6F119549" w14:textId="6F8BBA58" w:rsidR="007B5144" w:rsidRDefault="007B5144" w:rsidP="00005AAA">
      <w:pPr>
        <w:pStyle w:val="ListeParagraf"/>
        <w:numPr>
          <w:ilvl w:val="0"/>
          <w:numId w:val="5"/>
        </w:numPr>
        <w:spacing w:after="120"/>
        <w:ind w:left="274" w:hanging="274"/>
        <w:contextualSpacing w:val="0"/>
        <w:jc w:val="both"/>
        <w:rPr>
          <w:rFonts w:ascii="Times New Roman" w:hAnsi="Times New Roman" w:cs="Times New Roman"/>
          <w:sz w:val="24"/>
          <w:szCs w:val="24"/>
        </w:rPr>
      </w:pPr>
      <w:r>
        <w:rPr>
          <w:rFonts w:ascii="Times New Roman" w:hAnsi="Times New Roman" w:cs="Times New Roman"/>
          <w:sz w:val="24"/>
          <w:szCs w:val="24"/>
        </w:rPr>
        <w:t xml:space="preserve">Propose KPIs that the </w:t>
      </w:r>
      <w:proofErr w:type="spellStart"/>
      <w:r>
        <w:rPr>
          <w:rFonts w:ascii="Times New Roman" w:hAnsi="Times New Roman" w:cs="Times New Roman"/>
          <w:sz w:val="24"/>
          <w:szCs w:val="24"/>
        </w:rPr>
        <w:t>GoT</w:t>
      </w:r>
      <w:proofErr w:type="spellEnd"/>
      <w:r>
        <w:rPr>
          <w:rFonts w:ascii="Times New Roman" w:hAnsi="Times New Roman" w:cs="Times New Roman"/>
          <w:sz w:val="24"/>
          <w:szCs w:val="24"/>
        </w:rPr>
        <w:t xml:space="preserve"> can use to track performance improvements over time; these KPIs must necessarily be consistent with the performance indicators assessed under Sub-task </w:t>
      </w:r>
      <w:r w:rsidR="00E357E0">
        <w:rPr>
          <w:rFonts w:ascii="Times New Roman" w:hAnsi="Times New Roman" w:cs="Times New Roman"/>
          <w:sz w:val="24"/>
          <w:szCs w:val="24"/>
        </w:rPr>
        <w:t>1.1.</w:t>
      </w:r>
    </w:p>
    <w:p w14:paraId="17DE3587" w14:textId="439FEAAC" w:rsidR="00FF14A4" w:rsidRDefault="00FF14A4" w:rsidP="00005AAA">
      <w:pPr>
        <w:pStyle w:val="ListeParagraf"/>
        <w:numPr>
          <w:ilvl w:val="0"/>
          <w:numId w:val="5"/>
        </w:numPr>
        <w:spacing w:after="120"/>
        <w:ind w:left="274" w:hanging="274"/>
        <w:contextualSpacing w:val="0"/>
        <w:jc w:val="both"/>
        <w:rPr>
          <w:rFonts w:ascii="Times New Roman" w:hAnsi="Times New Roman" w:cs="Times New Roman"/>
          <w:sz w:val="24"/>
          <w:szCs w:val="24"/>
        </w:rPr>
      </w:pPr>
      <w:r w:rsidRPr="00FF14A4">
        <w:rPr>
          <w:rFonts w:ascii="Times New Roman" w:hAnsi="Times New Roman" w:cs="Times New Roman"/>
          <w:sz w:val="24"/>
          <w:szCs w:val="24"/>
        </w:rPr>
        <w:t xml:space="preserve">Ensure recommendations </w:t>
      </w:r>
      <w:r>
        <w:rPr>
          <w:rFonts w:ascii="Times New Roman" w:hAnsi="Times New Roman" w:cs="Times New Roman"/>
          <w:sz w:val="24"/>
          <w:szCs w:val="24"/>
        </w:rPr>
        <w:t xml:space="preserve">are compatible with Türkiye’s political </w:t>
      </w:r>
      <w:r w:rsidR="00E357E0">
        <w:rPr>
          <w:rFonts w:ascii="Times New Roman" w:hAnsi="Times New Roman" w:cs="Times New Roman"/>
          <w:sz w:val="24"/>
          <w:szCs w:val="24"/>
        </w:rPr>
        <w:t>economy.</w:t>
      </w:r>
    </w:p>
    <w:p w14:paraId="64A8C9D6" w14:textId="6670B16A" w:rsidR="00FF14A4" w:rsidRDefault="0016443C" w:rsidP="00005AAA">
      <w:pPr>
        <w:pStyle w:val="ListeParagraf"/>
        <w:numPr>
          <w:ilvl w:val="0"/>
          <w:numId w:val="5"/>
        </w:numPr>
        <w:spacing w:after="120"/>
        <w:ind w:left="274" w:hanging="274"/>
        <w:contextualSpacing w:val="0"/>
        <w:jc w:val="both"/>
        <w:rPr>
          <w:rFonts w:ascii="Times New Roman" w:hAnsi="Times New Roman" w:cs="Times New Roman"/>
          <w:sz w:val="24"/>
          <w:szCs w:val="24"/>
        </w:rPr>
      </w:pPr>
      <w:r>
        <w:rPr>
          <w:rFonts w:ascii="Times New Roman" w:hAnsi="Times New Roman" w:cs="Times New Roman"/>
          <w:sz w:val="24"/>
          <w:szCs w:val="24"/>
        </w:rPr>
        <w:t>Necessarily s</w:t>
      </w:r>
      <w:r w:rsidR="00FF14A4" w:rsidRPr="00FF14A4">
        <w:rPr>
          <w:rFonts w:ascii="Times New Roman" w:hAnsi="Times New Roman" w:cs="Times New Roman"/>
          <w:sz w:val="24"/>
          <w:szCs w:val="24"/>
        </w:rPr>
        <w:t xml:space="preserve">uggest mechanisms for </w:t>
      </w:r>
      <w:r w:rsidR="00FF14A4">
        <w:rPr>
          <w:rFonts w:ascii="Times New Roman" w:hAnsi="Times New Roman" w:cs="Times New Roman"/>
          <w:sz w:val="24"/>
          <w:szCs w:val="24"/>
        </w:rPr>
        <w:t>greater private sector participation</w:t>
      </w:r>
      <w:r>
        <w:rPr>
          <w:rFonts w:ascii="Times New Roman" w:hAnsi="Times New Roman" w:cs="Times New Roman"/>
          <w:sz w:val="24"/>
          <w:szCs w:val="24"/>
        </w:rPr>
        <w:t xml:space="preserve"> with a more level playing field </w:t>
      </w:r>
      <w:r w:rsidR="00E32E80">
        <w:rPr>
          <w:rFonts w:ascii="Times New Roman" w:hAnsi="Times New Roman" w:cs="Times New Roman"/>
          <w:sz w:val="24"/>
          <w:szCs w:val="24"/>
        </w:rPr>
        <w:t>between the</w:t>
      </w:r>
      <w:r>
        <w:rPr>
          <w:rFonts w:ascii="Times New Roman" w:hAnsi="Times New Roman" w:cs="Times New Roman"/>
          <w:sz w:val="24"/>
          <w:szCs w:val="24"/>
        </w:rPr>
        <w:t xml:space="preserve"> public</w:t>
      </w:r>
      <w:r w:rsidR="00E32E80">
        <w:rPr>
          <w:rFonts w:ascii="Times New Roman" w:hAnsi="Times New Roman" w:cs="Times New Roman"/>
          <w:sz w:val="24"/>
          <w:szCs w:val="24"/>
        </w:rPr>
        <w:t xml:space="preserve"> incumbent</w:t>
      </w:r>
      <w:r>
        <w:rPr>
          <w:rFonts w:ascii="Times New Roman" w:hAnsi="Times New Roman" w:cs="Times New Roman"/>
          <w:sz w:val="24"/>
          <w:szCs w:val="24"/>
        </w:rPr>
        <w:t xml:space="preserve"> and private RUs</w:t>
      </w:r>
      <w:r w:rsidR="00E32E80">
        <w:rPr>
          <w:rFonts w:ascii="Times New Roman" w:hAnsi="Times New Roman" w:cs="Times New Roman"/>
          <w:sz w:val="24"/>
          <w:szCs w:val="24"/>
        </w:rPr>
        <w:t>;</w:t>
      </w:r>
      <w:r w:rsidR="00FF14A4" w:rsidRPr="00FF14A4">
        <w:rPr>
          <w:rFonts w:ascii="Times New Roman" w:hAnsi="Times New Roman" w:cs="Times New Roman"/>
          <w:sz w:val="24"/>
          <w:szCs w:val="24"/>
        </w:rPr>
        <w:t xml:space="preserve"> </w:t>
      </w:r>
      <w:r>
        <w:rPr>
          <w:rFonts w:ascii="Times New Roman" w:hAnsi="Times New Roman" w:cs="Times New Roman"/>
          <w:sz w:val="24"/>
          <w:szCs w:val="24"/>
        </w:rPr>
        <w:t xml:space="preserve">alternative options to fund and finance the sector, including commercial financing </w:t>
      </w:r>
      <w:r w:rsidR="00FF14A4" w:rsidRPr="00FF14A4">
        <w:rPr>
          <w:rFonts w:ascii="Times New Roman" w:hAnsi="Times New Roman" w:cs="Times New Roman"/>
          <w:sz w:val="24"/>
          <w:szCs w:val="24"/>
        </w:rPr>
        <w:t>and</w:t>
      </w:r>
      <w:r w:rsidR="00FF14A4">
        <w:rPr>
          <w:rFonts w:ascii="Times New Roman" w:hAnsi="Times New Roman" w:cs="Times New Roman"/>
          <w:sz w:val="24"/>
          <w:szCs w:val="24"/>
        </w:rPr>
        <w:t xml:space="preserve"> facilitation of</w:t>
      </w:r>
      <w:r w:rsidR="00FF14A4" w:rsidRPr="00FF14A4">
        <w:rPr>
          <w:rFonts w:ascii="Times New Roman" w:hAnsi="Times New Roman" w:cs="Times New Roman"/>
          <w:sz w:val="24"/>
          <w:szCs w:val="24"/>
        </w:rPr>
        <w:t xml:space="preserve"> public-private partnerships</w:t>
      </w:r>
      <w:r w:rsidR="00734A2B">
        <w:rPr>
          <w:rFonts w:ascii="Times New Roman" w:hAnsi="Times New Roman" w:cs="Times New Roman"/>
          <w:sz w:val="24"/>
          <w:szCs w:val="24"/>
        </w:rPr>
        <w:t xml:space="preserve"> in the provision of </w:t>
      </w:r>
      <w:r w:rsidR="00E32E80">
        <w:rPr>
          <w:rFonts w:ascii="Times New Roman" w:hAnsi="Times New Roman" w:cs="Times New Roman"/>
          <w:sz w:val="24"/>
          <w:szCs w:val="24"/>
        </w:rPr>
        <w:t xml:space="preserve">main line and last-mile </w:t>
      </w:r>
      <w:r w:rsidR="00734A2B">
        <w:rPr>
          <w:rFonts w:ascii="Times New Roman" w:hAnsi="Times New Roman" w:cs="Times New Roman"/>
          <w:sz w:val="24"/>
          <w:szCs w:val="24"/>
        </w:rPr>
        <w:t>railway infrastructure</w:t>
      </w:r>
      <w:r w:rsidR="00E32E80">
        <w:rPr>
          <w:rFonts w:ascii="Times New Roman" w:hAnsi="Times New Roman" w:cs="Times New Roman"/>
          <w:sz w:val="24"/>
          <w:szCs w:val="24"/>
        </w:rPr>
        <w:t>;</w:t>
      </w:r>
      <w:r w:rsidR="00734A2B">
        <w:rPr>
          <w:rFonts w:ascii="Times New Roman" w:hAnsi="Times New Roman" w:cs="Times New Roman"/>
          <w:sz w:val="24"/>
          <w:szCs w:val="24"/>
        </w:rPr>
        <w:t xml:space="preserve"> potential incentives to facilitate private sector participation in the provision of rail freight services</w:t>
      </w:r>
      <w:r w:rsidR="00FF14A4">
        <w:rPr>
          <w:rFonts w:ascii="Times New Roman" w:hAnsi="Times New Roman" w:cs="Times New Roman"/>
          <w:sz w:val="24"/>
          <w:szCs w:val="24"/>
        </w:rPr>
        <w:t xml:space="preserve"> </w:t>
      </w:r>
      <w:r w:rsidR="00734A2B">
        <w:rPr>
          <w:rFonts w:ascii="Times New Roman" w:hAnsi="Times New Roman" w:cs="Times New Roman"/>
          <w:sz w:val="24"/>
          <w:szCs w:val="24"/>
        </w:rPr>
        <w:t xml:space="preserve">(e.g., </w:t>
      </w:r>
      <w:r w:rsidR="00734A2B" w:rsidRPr="00734A2B">
        <w:rPr>
          <w:rFonts w:ascii="Times New Roman" w:hAnsi="Times New Roman" w:cs="Times New Roman"/>
          <w:sz w:val="24"/>
          <w:szCs w:val="24"/>
        </w:rPr>
        <w:t xml:space="preserve">targeted operational subsidies, relief on energy costs, </w:t>
      </w:r>
      <w:r w:rsidR="00734A2B">
        <w:rPr>
          <w:rFonts w:ascii="Times New Roman" w:hAnsi="Times New Roman" w:cs="Times New Roman"/>
          <w:sz w:val="24"/>
          <w:szCs w:val="24"/>
        </w:rPr>
        <w:t xml:space="preserve">better </w:t>
      </w:r>
      <w:r w:rsidR="00734A2B" w:rsidRPr="00734A2B">
        <w:rPr>
          <w:rFonts w:ascii="Times New Roman" w:hAnsi="Times New Roman" w:cs="Times New Roman"/>
          <w:sz w:val="24"/>
          <w:szCs w:val="24"/>
        </w:rPr>
        <w:t>access to financing</w:t>
      </w:r>
      <w:r w:rsidR="00734A2B">
        <w:rPr>
          <w:rFonts w:ascii="Times New Roman" w:hAnsi="Times New Roman" w:cs="Times New Roman"/>
          <w:sz w:val="24"/>
          <w:szCs w:val="24"/>
        </w:rPr>
        <w:t>, and the like)</w:t>
      </w:r>
      <w:r w:rsidR="00E32E80">
        <w:rPr>
          <w:rFonts w:ascii="Times New Roman" w:hAnsi="Times New Roman" w:cs="Times New Roman"/>
          <w:sz w:val="24"/>
          <w:szCs w:val="24"/>
        </w:rPr>
        <w:t xml:space="preserve"> and operation of rail-enabled logistics clusters/logistics centers/dry ports;</w:t>
      </w:r>
      <w:r w:rsidR="00734A2B">
        <w:rPr>
          <w:rFonts w:ascii="Times New Roman" w:hAnsi="Times New Roman" w:cs="Times New Roman"/>
          <w:sz w:val="24"/>
          <w:szCs w:val="24"/>
        </w:rPr>
        <w:t xml:space="preserve"> </w:t>
      </w:r>
      <w:r w:rsidR="00E32E80">
        <w:rPr>
          <w:rFonts w:ascii="Times New Roman" w:hAnsi="Times New Roman" w:cs="Times New Roman"/>
          <w:sz w:val="24"/>
          <w:szCs w:val="24"/>
        </w:rPr>
        <w:t xml:space="preserve">and measures to facilitate access to rolling stock for all RUs; </w:t>
      </w:r>
      <w:r w:rsidR="00734A2B">
        <w:rPr>
          <w:rFonts w:ascii="Times New Roman" w:hAnsi="Times New Roman" w:cs="Times New Roman"/>
          <w:sz w:val="24"/>
          <w:szCs w:val="24"/>
        </w:rPr>
        <w:t xml:space="preserve">all </w:t>
      </w:r>
      <w:r w:rsidR="00FF14A4">
        <w:rPr>
          <w:rFonts w:ascii="Times New Roman" w:hAnsi="Times New Roman" w:cs="Times New Roman"/>
          <w:sz w:val="24"/>
          <w:szCs w:val="24"/>
        </w:rPr>
        <w:t xml:space="preserve">with the goal of fostering </w:t>
      </w:r>
      <w:r w:rsidR="00E32E80">
        <w:rPr>
          <w:rFonts w:ascii="Times New Roman" w:hAnsi="Times New Roman" w:cs="Times New Roman"/>
          <w:sz w:val="24"/>
          <w:szCs w:val="24"/>
        </w:rPr>
        <w:t xml:space="preserve">greater private sector participation in rail logistics, incentivizing a more </w:t>
      </w:r>
      <w:r w:rsidR="00FF14A4">
        <w:rPr>
          <w:rFonts w:ascii="Times New Roman" w:hAnsi="Times New Roman" w:cs="Times New Roman"/>
          <w:sz w:val="24"/>
          <w:szCs w:val="24"/>
        </w:rPr>
        <w:t>commercial orientation</w:t>
      </w:r>
      <w:r w:rsidR="00E32E80">
        <w:rPr>
          <w:rFonts w:ascii="Times New Roman" w:hAnsi="Times New Roman" w:cs="Times New Roman"/>
          <w:sz w:val="24"/>
          <w:szCs w:val="24"/>
        </w:rPr>
        <w:t xml:space="preserve"> in the provision of rail freight services,</w:t>
      </w:r>
      <w:r w:rsidR="00FF14A4">
        <w:rPr>
          <w:rFonts w:ascii="Times New Roman" w:hAnsi="Times New Roman" w:cs="Times New Roman"/>
          <w:sz w:val="24"/>
          <w:szCs w:val="24"/>
        </w:rPr>
        <w:t xml:space="preserve"> and mobilizing private capital to make the </w:t>
      </w:r>
      <w:r w:rsidR="00E32E80">
        <w:rPr>
          <w:rFonts w:ascii="Times New Roman" w:hAnsi="Times New Roman" w:cs="Times New Roman"/>
          <w:sz w:val="24"/>
          <w:szCs w:val="24"/>
        </w:rPr>
        <w:t xml:space="preserve">rail freight </w:t>
      </w:r>
      <w:r w:rsidR="00FF14A4">
        <w:rPr>
          <w:rFonts w:ascii="Times New Roman" w:hAnsi="Times New Roman" w:cs="Times New Roman"/>
          <w:sz w:val="24"/>
          <w:szCs w:val="24"/>
        </w:rPr>
        <w:t xml:space="preserve">sector more financially sustainable and market-responsive; </w:t>
      </w:r>
    </w:p>
    <w:p w14:paraId="5CB2EC3B" w14:textId="55F24F71" w:rsidR="0016443C" w:rsidRDefault="0016443C" w:rsidP="00005AAA">
      <w:pPr>
        <w:pStyle w:val="ListeParagraf"/>
        <w:numPr>
          <w:ilvl w:val="0"/>
          <w:numId w:val="5"/>
        </w:numPr>
        <w:spacing w:after="120"/>
        <w:ind w:left="274" w:hanging="274"/>
        <w:contextualSpacing w:val="0"/>
        <w:jc w:val="both"/>
        <w:rPr>
          <w:rFonts w:ascii="Times New Roman" w:hAnsi="Times New Roman" w:cs="Times New Roman"/>
          <w:sz w:val="24"/>
          <w:szCs w:val="24"/>
        </w:rPr>
      </w:pPr>
      <w:r>
        <w:rPr>
          <w:rFonts w:ascii="Times New Roman" w:hAnsi="Times New Roman" w:cs="Times New Roman"/>
          <w:sz w:val="24"/>
          <w:szCs w:val="24"/>
        </w:rPr>
        <w:t xml:space="preserve">Suggest mechanisms to make </w:t>
      </w:r>
      <w:r w:rsidR="00E357E0">
        <w:rPr>
          <w:rFonts w:ascii="Times New Roman" w:hAnsi="Times New Roman" w:cs="Times New Roman"/>
          <w:sz w:val="24"/>
          <w:szCs w:val="24"/>
        </w:rPr>
        <w:t>complementary</w:t>
      </w:r>
      <w:r>
        <w:rPr>
          <w:rFonts w:ascii="Times New Roman" w:hAnsi="Times New Roman" w:cs="Times New Roman"/>
          <w:sz w:val="24"/>
          <w:szCs w:val="24"/>
        </w:rPr>
        <w:t xml:space="preserve"> non-</w:t>
      </w:r>
      <w:proofErr w:type="gramStart"/>
      <w:r>
        <w:rPr>
          <w:rFonts w:ascii="Times New Roman" w:hAnsi="Times New Roman" w:cs="Times New Roman"/>
          <w:sz w:val="24"/>
          <w:szCs w:val="24"/>
        </w:rPr>
        <w:t>asset based</w:t>
      </w:r>
      <w:proofErr w:type="gramEnd"/>
      <w:r>
        <w:rPr>
          <w:rFonts w:ascii="Times New Roman" w:hAnsi="Times New Roman" w:cs="Times New Roman"/>
          <w:sz w:val="24"/>
          <w:szCs w:val="24"/>
        </w:rPr>
        <w:t xml:space="preserve"> freight forwarding and </w:t>
      </w:r>
      <w:r w:rsidR="00C313CD">
        <w:rPr>
          <w:rFonts w:ascii="Times New Roman" w:hAnsi="Times New Roman" w:cs="Times New Roman"/>
          <w:sz w:val="24"/>
          <w:szCs w:val="24"/>
        </w:rPr>
        <w:t>third-party logistics (</w:t>
      </w:r>
      <w:r>
        <w:rPr>
          <w:rFonts w:ascii="Times New Roman" w:hAnsi="Times New Roman" w:cs="Times New Roman"/>
          <w:sz w:val="24"/>
          <w:szCs w:val="24"/>
        </w:rPr>
        <w:t>3PL</w:t>
      </w:r>
      <w:r w:rsidR="00C313CD">
        <w:rPr>
          <w:rFonts w:ascii="Times New Roman" w:hAnsi="Times New Roman" w:cs="Times New Roman"/>
          <w:sz w:val="24"/>
          <w:szCs w:val="24"/>
        </w:rPr>
        <w:t>)</w:t>
      </w:r>
      <w:r>
        <w:rPr>
          <w:rFonts w:ascii="Times New Roman" w:hAnsi="Times New Roman" w:cs="Times New Roman"/>
          <w:sz w:val="24"/>
          <w:szCs w:val="24"/>
        </w:rPr>
        <w:t xml:space="preserve"> industry work in greater coordination with asset-based </w:t>
      </w:r>
      <w:proofErr w:type="gramStart"/>
      <w:r>
        <w:rPr>
          <w:rFonts w:ascii="Times New Roman" w:hAnsi="Times New Roman" w:cs="Times New Roman"/>
          <w:sz w:val="24"/>
          <w:szCs w:val="24"/>
        </w:rPr>
        <w:t>RUs;</w:t>
      </w:r>
      <w:proofErr w:type="gramEnd"/>
    </w:p>
    <w:p w14:paraId="3C1F395A" w14:textId="270A2AB7" w:rsidR="0016443C" w:rsidRDefault="0016443C" w:rsidP="00005AAA">
      <w:pPr>
        <w:pStyle w:val="ListeParagraf"/>
        <w:numPr>
          <w:ilvl w:val="0"/>
          <w:numId w:val="5"/>
        </w:numPr>
        <w:spacing w:after="120"/>
        <w:ind w:left="274" w:hanging="274"/>
        <w:contextualSpacing w:val="0"/>
        <w:jc w:val="both"/>
        <w:rPr>
          <w:rFonts w:ascii="Times New Roman" w:hAnsi="Times New Roman" w:cs="Times New Roman"/>
          <w:sz w:val="24"/>
          <w:szCs w:val="24"/>
        </w:rPr>
      </w:pPr>
      <w:r>
        <w:rPr>
          <w:rFonts w:ascii="Times New Roman" w:hAnsi="Times New Roman" w:cs="Times New Roman"/>
          <w:sz w:val="24"/>
          <w:szCs w:val="24"/>
        </w:rPr>
        <w:t>Suggest mechanisms to facilitate the development of private and public-private logistics centers/logistics clusters/dry ports (state owned and operated logistics centers are covered under Task 2 below</w:t>
      </w:r>
      <w:proofErr w:type="gramStart"/>
      <w:r>
        <w:rPr>
          <w:rFonts w:ascii="Times New Roman" w:hAnsi="Times New Roman" w:cs="Times New Roman"/>
          <w:sz w:val="24"/>
          <w:szCs w:val="24"/>
        </w:rPr>
        <w:t>);</w:t>
      </w:r>
      <w:proofErr w:type="gramEnd"/>
    </w:p>
    <w:p w14:paraId="7DFDD3F8" w14:textId="157A7E1B" w:rsidR="00FF14A4" w:rsidRDefault="00FF14A4" w:rsidP="00005AAA">
      <w:pPr>
        <w:pStyle w:val="ListeParagraf"/>
        <w:numPr>
          <w:ilvl w:val="0"/>
          <w:numId w:val="5"/>
        </w:numPr>
        <w:spacing w:after="120"/>
        <w:ind w:left="274" w:hanging="274"/>
        <w:contextualSpacing w:val="0"/>
        <w:jc w:val="both"/>
        <w:rPr>
          <w:rFonts w:ascii="Times New Roman" w:hAnsi="Times New Roman" w:cs="Times New Roman"/>
          <w:sz w:val="24"/>
          <w:szCs w:val="24"/>
        </w:rPr>
      </w:pPr>
      <w:proofErr w:type="gramStart"/>
      <w:r w:rsidRPr="00FF14A4">
        <w:rPr>
          <w:rFonts w:ascii="Times New Roman" w:hAnsi="Times New Roman" w:cs="Times New Roman"/>
          <w:sz w:val="24"/>
          <w:szCs w:val="24"/>
        </w:rPr>
        <w:t>Take into account</w:t>
      </w:r>
      <w:proofErr w:type="gramEnd"/>
      <w:r w:rsidRPr="00FF14A4">
        <w:rPr>
          <w:rFonts w:ascii="Times New Roman" w:hAnsi="Times New Roman" w:cs="Times New Roman"/>
          <w:sz w:val="24"/>
          <w:szCs w:val="24"/>
        </w:rPr>
        <w:t xml:space="preserve"> the insights gathered from </w:t>
      </w:r>
      <w:r w:rsidR="00005AAA">
        <w:rPr>
          <w:rFonts w:ascii="Times New Roman" w:hAnsi="Times New Roman" w:cs="Times New Roman"/>
          <w:sz w:val="24"/>
          <w:szCs w:val="24"/>
        </w:rPr>
        <w:t xml:space="preserve">the </w:t>
      </w:r>
      <w:r w:rsidRPr="00FF14A4">
        <w:rPr>
          <w:rFonts w:ascii="Times New Roman" w:hAnsi="Times New Roman" w:cs="Times New Roman"/>
          <w:sz w:val="24"/>
          <w:szCs w:val="24"/>
        </w:rPr>
        <w:t xml:space="preserve">stakeholder engagement </w:t>
      </w:r>
      <w:r w:rsidR="00005AAA">
        <w:rPr>
          <w:rFonts w:ascii="Times New Roman" w:hAnsi="Times New Roman" w:cs="Times New Roman"/>
          <w:sz w:val="24"/>
          <w:szCs w:val="24"/>
        </w:rPr>
        <w:t xml:space="preserve">exercise </w:t>
      </w:r>
      <w:r w:rsidRPr="00FF14A4">
        <w:rPr>
          <w:rFonts w:ascii="Times New Roman" w:hAnsi="Times New Roman" w:cs="Times New Roman"/>
          <w:sz w:val="24"/>
          <w:szCs w:val="24"/>
        </w:rPr>
        <w:t xml:space="preserve">to ensure recommendations are relevant and </w:t>
      </w:r>
      <w:r w:rsidR="00E357E0" w:rsidRPr="00FF14A4">
        <w:rPr>
          <w:rFonts w:ascii="Times New Roman" w:hAnsi="Times New Roman" w:cs="Times New Roman"/>
          <w:sz w:val="24"/>
          <w:szCs w:val="24"/>
        </w:rPr>
        <w:t>feasible</w:t>
      </w:r>
      <w:r w:rsidR="00E357E0">
        <w:rPr>
          <w:rFonts w:ascii="Times New Roman" w:hAnsi="Times New Roman" w:cs="Times New Roman"/>
          <w:sz w:val="24"/>
          <w:szCs w:val="24"/>
        </w:rPr>
        <w:t>.</w:t>
      </w:r>
      <w:r>
        <w:rPr>
          <w:rFonts w:ascii="Times New Roman" w:hAnsi="Times New Roman" w:cs="Times New Roman"/>
          <w:sz w:val="24"/>
          <w:szCs w:val="24"/>
        </w:rPr>
        <w:t xml:space="preserve"> </w:t>
      </w:r>
    </w:p>
    <w:p w14:paraId="2F8463BB" w14:textId="4EB8239C" w:rsidR="00FF14A4" w:rsidRPr="00E44261" w:rsidRDefault="00FF14A4" w:rsidP="00E44261">
      <w:pPr>
        <w:pStyle w:val="ListeParagraf"/>
        <w:numPr>
          <w:ilvl w:val="0"/>
          <w:numId w:val="5"/>
        </w:numPr>
        <w:spacing w:after="120"/>
        <w:ind w:left="274" w:hanging="274"/>
        <w:contextualSpacing w:val="0"/>
        <w:jc w:val="both"/>
        <w:rPr>
          <w:rFonts w:ascii="Times New Roman" w:hAnsi="Times New Roman" w:cs="Times New Roman"/>
          <w:sz w:val="24"/>
          <w:szCs w:val="24"/>
        </w:rPr>
      </w:pPr>
      <w:r>
        <w:rPr>
          <w:rFonts w:ascii="Times New Roman" w:hAnsi="Times New Roman" w:cs="Times New Roman"/>
          <w:sz w:val="24"/>
          <w:szCs w:val="24"/>
        </w:rPr>
        <w:t>Categorize r</w:t>
      </w:r>
      <w:r w:rsidRPr="00FF14A4">
        <w:rPr>
          <w:rFonts w:ascii="Times New Roman" w:hAnsi="Times New Roman" w:cs="Times New Roman"/>
          <w:sz w:val="24"/>
          <w:szCs w:val="24"/>
        </w:rPr>
        <w:t xml:space="preserve">ecommendations into key areas, each addressing specific aspects of rail freight improvement such as infrastructure development, operational efficiency, regulatory and policy framework, </w:t>
      </w:r>
      <w:r w:rsidRPr="00FF14A4">
        <w:rPr>
          <w:rStyle w:val="Gl"/>
          <w:rFonts w:ascii="Times New Roman" w:hAnsi="Times New Roman" w:cs="Times New Roman"/>
          <w:b w:val="0"/>
          <w:bCs w:val="0"/>
          <w:sz w:val="24"/>
          <w:szCs w:val="24"/>
        </w:rPr>
        <w:t>sustainability initiatives,</w:t>
      </w:r>
      <w:r w:rsidRPr="00FF14A4">
        <w:rPr>
          <w:rStyle w:val="Gl"/>
          <w:rFonts w:ascii="Times New Roman" w:hAnsi="Times New Roman" w:cs="Times New Roman"/>
          <w:sz w:val="24"/>
          <w:szCs w:val="24"/>
        </w:rPr>
        <w:t xml:space="preserve"> </w:t>
      </w:r>
      <w:r w:rsidRPr="00FF14A4">
        <w:rPr>
          <w:rFonts w:ascii="Times New Roman" w:hAnsi="Times New Roman" w:cs="Times New Roman"/>
          <w:sz w:val="24"/>
          <w:szCs w:val="24"/>
        </w:rPr>
        <w:t>customer engagement and service improvement, etc.</w:t>
      </w:r>
      <w:r w:rsidR="00E44261">
        <w:rPr>
          <w:rFonts w:ascii="Times New Roman" w:hAnsi="Times New Roman" w:cs="Times New Roman"/>
          <w:sz w:val="24"/>
          <w:szCs w:val="24"/>
        </w:rPr>
        <w:t xml:space="preserve"> Recommendations will necessarily be prioritized based on multicriteria to be proposed by the Consultant, and sequenced over time—this will help present recommendations as an </w:t>
      </w:r>
      <w:r w:rsidR="00E44261" w:rsidRPr="00E44261">
        <w:rPr>
          <w:rFonts w:ascii="Times New Roman" w:hAnsi="Times New Roman" w:cs="Times New Roman"/>
          <w:i/>
          <w:iCs/>
          <w:sz w:val="24"/>
          <w:szCs w:val="24"/>
        </w:rPr>
        <w:t>Action Plan</w:t>
      </w:r>
      <w:r w:rsidR="00E44261">
        <w:rPr>
          <w:rFonts w:ascii="Times New Roman" w:hAnsi="Times New Roman" w:cs="Times New Roman"/>
          <w:sz w:val="24"/>
          <w:szCs w:val="24"/>
        </w:rPr>
        <w:t>, rather than a ‘wish list’</w:t>
      </w:r>
      <w:r w:rsidR="00E44261" w:rsidRPr="00E44261">
        <w:rPr>
          <w:rFonts w:ascii="Times New Roman" w:hAnsi="Times New Roman" w:cs="Times New Roman"/>
          <w:sz w:val="24"/>
          <w:szCs w:val="24"/>
        </w:rPr>
        <w:t>; and</w:t>
      </w:r>
    </w:p>
    <w:p w14:paraId="54AD2E2C" w14:textId="2147E70E" w:rsidR="00E32E80" w:rsidRDefault="00E44261" w:rsidP="00FF14A4">
      <w:pPr>
        <w:pStyle w:val="ListeParagraf"/>
        <w:numPr>
          <w:ilvl w:val="0"/>
          <w:numId w:val="5"/>
        </w:numPr>
        <w:spacing w:after="120"/>
        <w:ind w:left="274" w:hanging="274"/>
        <w:contextualSpacing w:val="0"/>
        <w:jc w:val="both"/>
        <w:rPr>
          <w:rFonts w:ascii="Times New Roman" w:hAnsi="Times New Roman" w:cs="Times New Roman"/>
          <w:sz w:val="24"/>
          <w:szCs w:val="24"/>
        </w:rPr>
      </w:pPr>
      <w:r>
        <w:rPr>
          <w:rFonts w:ascii="Times New Roman" w:hAnsi="Times New Roman" w:cs="Times New Roman"/>
          <w:sz w:val="24"/>
          <w:szCs w:val="24"/>
        </w:rPr>
        <w:t xml:space="preserve">As a rule, every recommendation </w:t>
      </w:r>
      <w:r w:rsidR="008F207F">
        <w:rPr>
          <w:rFonts w:ascii="Times New Roman" w:hAnsi="Times New Roman" w:cs="Times New Roman"/>
          <w:sz w:val="24"/>
          <w:szCs w:val="24"/>
        </w:rPr>
        <w:t>must be</w:t>
      </w:r>
      <w:r w:rsidR="00873336">
        <w:rPr>
          <w:rFonts w:ascii="Times New Roman" w:hAnsi="Times New Roman" w:cs="Times New Roman"/>
          <w:sz w:val="24"/>
          <w:szCs w:val="24"/>
        </w:rPr>
        <w:t xml:space="preserve"> costed</w:t>
      </w:r>
      <w:r w:rsidR="009B4BD7">
        <w:rPr>
          <w:rFonts w:ascii="Times New Roman" w:hAnsi="Times New Roman" w:cs="Times New Roman"/>
          <w:sz w:val="24"/>
          <w:szCs w:val="24"/>
        </w:rPr>
        <w:t>,</w:t>
      </w:r>
      <w:r w:rsidR="00873336">
        <w:rPr>
          <w:rFonts w:ascii="Times New Roman" w:hAnsi="Times New Roman" w:cs="Times New Roman"/>
          <w:sz w:val="24"/>
          <w:szCs w:val="24"/>
        </w:rPr>
        <w:t xml:space="preserve"> and</w:t>
      </w:r>
      <w:r>
        <w:rPr>
          <w:rFonts w:ascii="Times New Roman" w:hAnsi="Times New Roman" w:cs="Times New Roman"/>
          <w:sz w:val="24"/>
          <w:szCs w:val="24"/>
        </w:rPr>
        <w:t xml:space="preserve"> include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evidence that there is precedent in the international experience of the measure being implemented successfully, or, if unprecedented in the international experience, a strong justification for it that takes this into consideration; (ii) recommended responsible parties/entities; and (iii) recommended timeline and key implementation and success factor considerations. </w:t>
      </w:r>
    </w:p>
    <w:p w14:paraId="7C9DD868" w14:textId="77777777" w:rsidR="00297947" w:rsidRDefault="00297947" w:rsidP="00297947">
      <w:pPr>
        <w:pStyle w:val="ListeParagraf"/>
        <w:ind w:left="0"/>
        <w:jc w:val="both"/>
        <w:rPr>
          <w:rFonts w:ascii="Times New Roman" w:hAnsi="Times New Roman" w:cs="Times New Roman"/>
          <w:b/>
          <w:bCs/>
          <w:sz w:val="24"/>
          <w:szCs w:val="24"/>
        </w:rPr>
      </w:pPr>
    </w:p>
    <w:p w14:paraId="7C2E241D" w14:textId="6CD83F02" w:rsidR="00E32E80" w:rsidRDefault="00297947" w:rsidP="00297947">
      <w:pPr>
        <w:pStyle w:val="ListeParagraf"/>
        <w:ind w:left="0"/>
        <w:jc w:val="both"/>
        <w:rPr>
          <w:rFonts w:ascii="Times New Roman" w:hAnsi="Times New Roman" w:cs="Times New Roman"/>
          <w:b/>
          <w:bCs/>
          <w:sz w:val="24"/>
          <w:szCs w:val="24"/>
        </w:rPr>
      </w:pPr>
      <w:r w:rsidRPr="00297947">
        <w:rPr>
          <w:rFonts w:ascii="Times New Roman" w:hAnsi="Times New Roman" w:cs="Times New Roman"/>
          <w:b/>
          <w:bCs/>
          <w:sz w:val="24"/>
          <w:szCs w:val="24"/>
        </w:rPr>
        <w:lastRenderedPageBreak/>
        <w:t>Sub-Task 1.</w:t>
      </w:r>
      <w:r>
        <w:rPr>
          <w:rFonts w:ascii="Times New Roman" w:hAnsi="Times New Roman" w:cs="Times New Roman"/>
          <w:b/>
          <w:bCs/>
          <w:sz w:val="24"/>
          <w:szCs w:val="24"/>
        </w:rPr>
        <w:t>6</w:t>
      </w:r>
      <w:r w:rsidRPr="00297947">
        <w:rPr>
          <w:rFonts w:ascii="Times New Roman" w:hAnsi="Times New Roman" w:cs="Times New Roman"/>
          <w:b/>
          <w:bCs/>
          <w:sz w:val="24"/>
          <w:szCs w:val="24"/>
        </w:rPr>
        <w:t>. Rail Sector Liberalization Impact Assessment and Strategic Re-Structuring (2026–2030)</w:t>
      </w:r>
    </w:p>
    <w:p w14:paraId="3EF61016" w14:textId="77777777" w:rsidR="00297947" w:rsidRDefault="00297947" w:rsidP="00297947">
      <w:pPr>
        <w:pStyle w:val="ListeParagraf"/>
        <w:ind w:left="0"/>
        <w:jc w:val="both"/>
        <w:rPr>
          <w:rFonts w:ascii="Times New Roman" w:hAnsi="Times New Roman" w:cs="Times New Roman"/>
          <w:b/>
          <w:bCs/>
          <w:sz w:val="24"/>
          <w:szCs w:val="24"/>
        </w:rPr>
      </w:pPr>
    </w:p>
    <w:p w14:paraId="1AE6BEAA" w14:textId="5F3B6926" w:rsidR="00297947" w:rsidRDefault="00297947" w:rsidP="00297947">
      <w:pPr>
        <w:pStyle w:val="ListeParagraf"/>
        <w:ind w:left="0"/>
        <w:jc w:val="both"/>
        <w:rPr>
          <w:rFonts w:ascii="Times New Roman" w:hAnsi="Times New Roman" w:cs="Times New Roman"/>
          <w:sz w:val="24"/>
          <w:szCs w:val="24"/>
        </w:rPr>
      </w:pPr>
      <w:r w:rsidRPr="00A26553">
        <w:rPr>
          <w:rFonts w:ascii="Times New Roman" w:hAnsi="Times New Roman" w:cs="Times New Roman"/>
          <w:sz w:val="24"/>
          <w:szCs w:val="24"/>
        </w:rPr>
        <w:t>Under this Sub-task, the Consultant will assess the implementation outcomes, impacts, and remaining gaps of rail sector liberalization in Türkiye, with a forward-looking focus on the 2026–2030 period. The assessment will build on the existing legal and institutional framework governing rail sector liberalization and will aim to inform policy, regulatory, and investment decisions to enhance competition, efficiency, and sustainability in both freight and passenger rail markets. The Sub-task will include, but not be limited to, the following analytical components:</w:t>
      </w:r>
    </w:p>
    <w:p w14:paraId="053DADBA" w14:textId="2A3E60A9" w:rsidR="00297947" w:rsidRDefault="00297947" w:rsidP="00297947">
      <w:pPr>
        <w:pStyle w:val="ListeParagraf"/>
        <w:ind w:left="0"/>
        <w:jc w:val="both"/>
        <w:rPr>
          <w:rFonts w:ascii="Times New Roman" w:hAnsi="Times New Roman" w:cs="Times New Roman"/>
          <w:sz w:val="24"/>
          <w:szCs w:val="24"/>
        </w:rPr>
      </w:pPr>
    </w:p>
    <w:p w14:paraId="360EEDB1" w14:textId="19A13C91" w:rsidR="00297947" w:rsidRDefault="00297947" w:rsidP="00297947">
      <w:pPr>
        <w:pStyle w:val="ListeParagraf"/>
        <w:ind w:left="0"/>
        <w:jc w:val="both"/>
      </w:pPr>
      <w:r>
        <w:t>(a) Legal and Institutional Framework Analysis</w:t>
      </w:r>
    </w:p>
    <w:p w14:paraId="7159078F" w14:textId="77777777" w:rsidR="00297947" w:rsidRDefault="00297947" w:rsidP="00A26553">
      <w:pPr>
        <w:pStyle w:val="ListeParagraf"/>
        <w:numPr>
          <w:ilvl w:val="0"/>
          <w:numId w:val="12"/>
        </w:numPr>
        <w:jc w:val="both"/>
      </w:pPr>
      <w:r>
        <w:t xml:space="preserve">Assessment of the implementation of Law No. 6461 on the Liberalization of Railway Transportation in </w:t>
      </w:r>
      <w:proofErr w:type="gramStart"/>
      <w:r>
        <w:t>Türkiye;</w:t>
      </w:r>
      <w:proofErr w:type="gramEnd"/>
    </w:p>
    <w:p w14:paraId="56B6EEA0" w14:textId="77777777" w:rsidR="00297947" w:rsidRDefault="00297947" w:rsidP="00297947">
      <w:pPr>
        <w:pStyle w:val="ListeParagraf"/>
        <w:numPr>
          <w:ilvl w:val="0"/>
          <w:numId w:val="12"/>
        </w:numPr>
        <w:jc w:val="both"/>
      </w:pPr>
      <w:r>
        <w:t>Consistency and effectiveness review of secondary legislation, including but not limited to the Railway Infrastructure Access Regulation, Capacity Allocation Regulation, railway safety regulations, and Technical Specifications for Interoperability (TSIs</w:t>
      </w:r>
      <w:proofErr w:type="gramStart"/>
      <w:r>
        <w:t>);</w:t>
      </w:r>
      <w:proofErr w:type="gramEnd"/>
    </w:p>
    <w:p w14:paraId="09C99474" w14:textId="77777777" w:rsidR="00297947" w:rsidRDefault="00297947" w:rsidP="00297947">
      <w:pPr>
        <w:pStyle w:val="ListeParagraf"/>
        <w:numPr>
          <w:ilvl w:val="0"/>
          <w:numId w:val="12"/>
        </w:numPr>
        <w:jc w:val="both"/>
      </w:pPr>
      <w:r>
        <w:t xml:space="preserve">Evaluation of the functional and financial separation between TCDD, TCDD Transportation Co., and the regulatory and policy oversight roles of </w:t>
      </w:r>
      <w:proofErr w:type="spellStart"/>
      <w:r>
        <w:t>MoTI</w:t>
      </w:r>
      <w:proofErr w:type="spellEnd"/>
      <w:r>
        <w:t xml:space="preserve"> and its relevant sub-</w:t>
      </w:r>
      <w:proofErr w:type="gramStart"/>
      <w:r>
        <w:t>agencies;</w:t>
      </w:r>
      <w:proofErr w:type="gramEnd"/>
    </w:p>
    <w:p w14:paraId="599D470A" w14:textId="1550C9E2" w:rsidR="00297947" w:rsidRDefault="00297947" w:rsidP="00297947">
      <w:pPr>
        <w:pStyle w:val="ListeParagraf"/>
        <w:numPr>
          <w:ilvl w:val="0"/>
          <w:numId w:val="12"/>
        </w:numPr>
        <w:jc w:val="both"/>
      </w:pPr>
      <w:r>
        <w:t>Assessment of regulatory capacity, independence, and enforcement needs in line with EU rail acquis and international best practice.</w:t>
      </w:r>
    </w:p>
    <w:p w14:paraId="575DAF3A" w14:textId="14FBB895" w:rsidR="00297947" w:rsidRDefault="00297947" w:rsidP="00297947">
      <w:pPr>
        <w:jc w:val="both"/>
      </w:pPr>
      <w:r>
        <w:t>(b) Market Structure and Operational Performance Analysis</w:t>
      </w:r>
    </w:p>
    <w:p w14:paraId="17E4EF6B" w14:textId="777FD22A" w:rsidR="00297947" w:rsidRDefault="00297947" w:rsidP="00297947">
      <w:pPr>
        <w:pStyle w:val="ListeParagraf"/>
        <w:numPr>
          <w:ilvl w:val="0"/>
          <w:numId w:val="13"/>
        </w:numPr>
        <w:jc w:val="both"/>
      </w:pPr>
      <w:r>
        <w:t xml:space="preserve">Quantitative assessment of rail freight and passenger markets using 2020–2025 data, including market shares, service performance, and modal competition with road, maritime, and air </w:t>
      </w:r>
      <w:proofErr w:type="gramStart"/>
      <w:r>
        <w:t>transport;</w:t>
      </w:r>
      <w:proofErr w:type="gramEnd"/>
    </w:p>
    <w:p w14:paraId="7DAE88B8" w14:textId="7DDB307A" w:rsidR="00297947" w:rsidRDefault="00297947" w:rsidP="00297947">
      <w:pPr>
        <w:pStyle w:val="ListeParagraf"/>
        <w:numPr>
          <w:ilvl w:val="0"/>
          <w:numId w:val="13"/>
        </w:numPr>
        <w:jc w:val="both"/>
      </w:pPr>
      <w:r>
        <w:t xml:space="preserve">Analysis of private railway undertakings’ operational capacity, rolling stock availability, network access conditions, and utilization </w:t>
      </w:r>
      <w:proofErr w:type="gramStart"/>
      <w:r>
        <w:t>patterns;</w:t>
      </w:r>
      <w:proofErr w:type="gramEnd"/>
    </w:p>
    <w:p w14:paraId="5CDFB201" w14:textId="5E428CAB" w:rsidR="00297947" w:rsidRDefault="00297947" w:rsidP="00297947">
      <w:pPr>
        <w:pStyle w:val="ListeParagraf"/>
        <w:numPr>
          <w:ilvl w:val="0"/>
          <w:numId w:val="13"/>
        </w:numPr>
        <w:jc w:val="both"/>
      </w:pPr>
      <w:r>
        <w:t>Identification of operational bottlenecks on the national rail network affecting market entry, service reliability, and capacity utilization.</w:t>
      </w:r>
    </w:p>
    <w:p w14:paraId="3A1B5CDB" w14:textId="2B588951" w:rsidR="00297947" w:rsidRDefault="00297947" w:rsidP="00297947">
      <w:pPr>
        <w:jc w:val="both"/>
      </w:pPr>
      <w:r>
        <w:t>(c) Economic and Financial Impact Assessment</w:t>
      </w:r>
    </w:p>
    <w:p w14:paraId="7E98C482" w14:textId="5A891B10" w:rsidR="00297947" w:rsidRDefault="00297947" w:rsidP="00297947">
      <w:pPr>
        <w:pStyle w:val="ListeParagraf"/>
        <w:numPr>
          <w:ilvl w:val="0"/>
          <w:numId w:val="14"/>
        </w:numPr>
        <w:jc w:val="both"/>
      </w:pPr>
      <w:r>
        <w:t xml:space="preserve">Development of marginal-cost-based track access charging scenarios and assessment of their budgetary and market </w:t>
      </w:r>
      <w:proofErr w:type="gramStart"/>
      <w:r>
        <w:t>impacts;</w:t>
      </w:r>
      <w:proofErr w:type="gramEnd"/>
    </w:p>
    <w:p w14:paraId="58E01578" w14:textId="758B2511" w:rsidR="00297947" w:rsidRDefault="00297947" w:rsidP="00297947">
      <w:pPr>
        <w:pStyle w:val="ListeParagraf"/>
        <w:numPr>
          <w:ilvl w:val="0"/>
          <w:numId w:val="14"/>
        </w:numPr>
        <w:jc w:val="both"/>
      </w:pPr>
      <w:r>
        <w:t xml:space="preserve">Analysis of passenger market entry scenarios (excluding high-speed rail services), including Public Service Obligation (PSO) tendering </w:t>
      </w:r>
      <w:proofErr w:type="gramStart"/>
      <w:r>
        <w:t>models;</w:t>
      </w:r>
      <w:proofErr w:type="gramEnd"/>
    </w:p>
    <w:p w14:paraId="7619F2BC" w14:textId="078AE0EF" w:rsidR="00297947" w:rsidRDefault="00297947" w:rsidP="00297947">
      <w:pPr>
        <w:pStyle w:val="ListeParagraf"/>
        <w:numPr>
          <w:ilvl w:val="0"/>
          <w:numId w:val="14"/>
        </w:numPr>
        <w:jc w:val="both"/>
      </w:pPr>
      <w:r>
        <w:t>Cost–benefit analysis of incentive mechanisms such as ton-km–based support schemes (e.g., MODES-type instruments</w:t>
      </w:r>
      <w:proofErr w:type="gramStart"/>
      <w:r>
        <w:t>);</w:t>
      </w:r>
      <w:proofErr w:type="gramEnd"/>
    </w:p>
    <w:p w14:paraId="75E3DFF3" w14:textId="43520A1C" w:rsidR="00297947" w:rsidRDefault="00297947" w:rsidP="00297947">
      <w:pPr>
        <w:pStyle w:val="ListeParagraf"/>
        <w:numPr>
          <w:ilvl w:val="0"/>
          <w:numId w:val="14"/>
        </w:numPr>
        <w:jc w:val="both"/>
      </w:pPr>
      <w:r>
        <w:t>Medium-term fiscal impact assessment of liberalization through 2030, including impacts on public subsidies, infrastructure financing needs, and TCDD balance sheet sustainability.</w:t>
      </w:r>
    </w:p>
    <w:p w14:paraId="3D5AACBD" w14:textId="3AD5E181" w:rsidR="00297947" w:rsidRDefault="001B2BC2" w:rsidP="00297947">
      <w:pPr>
        <w:jc w:val="both"/>
      </w:pPr>
      <w:r>
        <w:t>(d) Investment, Rolling Stock, and Digitalization Analysis</w:t>
      </w:r>
    </w:p>
    <w:p w14:paraId="3A38F465" w14:textId="5FE4EF69" w:rsidR="001B2BC2" w:rsidRDefault="001B2BC2" w:rsidP="001B2BC2">
      <w:pPr>
        <w:pStyle w:val="ListeParagraf"/>
        <w:numPr>
          <w:ilvl w:val="0"/>
          <w:numId w:val="15"/>
        </w:numPr>
        <w:jc w:val="both"/>
      </w:pPr>
      <w:r>
        <w:t xml:space="preserve">Comparative assessment of rail connectivity investments to ports, organized industrial zones, and logistics </w:t>
      </w:r>
      <w:proofErr w:type="gramStart"/>
      <w:r>
        <w:t>nodes;</w:t>
      </w:r>
      <w:proofErr w:type="gramEnd"/>
    </w:p>
    <w:p w14:paraId="6CC183CE" w14:textId="503686B4" w:rsidR="001B2BC2" w:rsidRDefault="001B2BC2" w:rsidP="001B2BC2">
      <w:pPr>
        <w:pStyle w:val="ListeParagraf"/>
        <w:numPr>
          <w:ilvl w:val="0"/>
          <w:numId w:val="15"/>
        </w:numPr>
        <w:jc w:val="both"/>
      </w:pPr>
      <w:r>
        <w:t xml:space="preserve">Evaluation of the domestic locomotive and wagon manufacturing and supply </w:t>
      </w:r>
      <w:proofErr w:type="gramStart"/>
      <w:r>
        <w:t>ecosystem;</w:t>
      </w:r>
      <w:proofErr w:type="gramEnd"/>
    </w:p>
    <w:p w14:paraId="56DA8533" w14:textId="6A96D15A" w:rsidR="001B2BC2" w:rsidRDefault="001B2BC2" w:rsidP="001B2BC2">
      <w:pPr>
        <w:pStyle w:val="ListeParagraf"/>
        <w:numPr>
          <w:ilvl w:val="0"/>
          <w:numId w:val="15"/>
        </w:numPr>
        <w:jc w:val="both"/>
      </w:pPr>
      <w:r>
        <w:lastRenderedPageBreak/>
        <w:t xml:space="preserve">Assessment of capacity enhancement investment needs on critical </w:t>
      </w:r>
      <w:proofErr w:type="gramStart"/>
      <w:r>
        <w:t>corridors;</w:t>
      </w:r>
      <w:proofErr w:type="gramEnd"/>
    </w:p>
    <w:p w14:paraId="36EA63FB" w14:textId="121A54D8" w:rsidR="001B2BC2" w:rsidRDefault="001B2BC2" w:rsidP="001B2BC2">
      <w:pPr>
        <w:pStyle w:val="ListeParagraf"/>
        <w:numPr>
          <w:ilvl w:val="0"/>
          <w:numId w:val="15"/>
        </w:numPr>
        <w:jc w:val="both"/>
      </w:pPr>
      <w:r>
        <w:t>Review of digitalization opportunities in border crossings and rail-enabled logistics centers to support seamless intermodal transport</w:t>
      </w:r>
    </w:p>
    <w:p w14:paraId="1735A874" w14:textId="77332FDB" w:rsidR="001B2BC2" w:rsidRDefault="001B2BC2" w:rsidP="001B2BC2">
      <w:pPr>
        <w:jc w:val="both"/>
      </w:pPr>
      <w:r>
        <w:t>(e) 2026–2030 Strategic Action Plan for Rail Sector Liberalization</w:t>
      </w:r>
    </w:p>
    <w:p w14:paraId="01BFE9C9" w14:textId="684AAF6F" w:rsidR="001B2BC2" w:rsidRDefault="001B2BC2" w:rsidP="001B2BC2">
      <w:pPr>
        <w:pStyle w:val="ListeParagraf"/>
        <w:numPr>
          <w:ilvl w:val="0"/>
          <w:numId w:val="16"/>
        </w:numPr>
        <w:jc w:val="both"/>
      </w:pPr>
      <w:r>
        <w:t xml:space="preserve">Updated and prioritized action plan for the period 2026–2030, including policy actions, regulatory reforms, investment priorities, and institutional </w:t>
      </w:r>
      <w:proofErr w:type="gramStart"/>
      <w:r>
        <w:t>responsibilities;</w:t>
      </w:r>
      <w:proofErr w:type="gramEnd"/>
    </w:p>
    <w:p w14:paraId="14392CD6" w14:textId="46DCBC6B" w:rsidR="001B2BC2" w:rsidRDefault="001B2BC2" w:rsidP="001B2BC2">
      <w:pPr>
        <w:pStyle w:val="ListeParagraf"/>
        <w:numPr>
          <w:ilvl w:val="0"/>
          <w:numId w:val="16"/>
        </w:numPr>
        <w:jc w:val="both"/>
      </w:pPr>
      <w:r>
        <w:t xml:space="preserve">Definition of a coherent KPI framework to monitor liberalization outcomes, market performance, and private sector </w:t>
      </w:r>
      <w:proofErr w:type="gramStart"/>
      <w:r>
        <w:t>participation;</w:t>
      </w:r>
      <w:proofErr w:type="gramEnd"/>
    </w:p>
    <w:p w14:paraId="1D3531DC" w14:textId="2871D5BA" w:rsidR="001B2BC2" w:rsidRDefault="001B2BC2" w:rsidP="001B2BC2">
      <w:pPr>
        <w:pStyle w:val="ListeParagraf"/>
        <w:numPr>
          <w:ilvl w:val="0"/>
          <w:numId w:val="16"/>
        </w:numPr>
        <w:jc w:val="both"/>
      </w:pPr>
      <w:r>
        <w:t>Identification of implementation risks, mitigation measures, and “quick wins” to accelerate reform momentum.</w:t>
      </w:r>
    </w:p>
    <w:p w14:paraId="32211A8F" w14:textId="0E50022A" w:rsidR="00537FCB" w:rsidRPr="00297947" w:rsidRDefault="00537FCB" w:rsidP="00A26553">
      <w:pPr>
        <w:jc w:val="both"/>
      </w:pPr>
      <w:r>
        <w:t xml:space="preserve">The deliverable for Sub-task 1.6 will include the </w:t>
      </w:r>
      <w:r>
        <w:rPr>
          <w:rStyle w:val="Gl"/>
        </w:rPr>
        <w:t>“Rail Sector Liberalization Impact Assessment and 2026–2030 Strategic Re-Structuring Report”</w:t>
      </w:r>
      <w:r>
        <w:t>, which will comprise (</w:t>
      </w:r>
      <w:proofErr w:type="spellStart"/>
      <w:r>
        <w:t>i</w:t>
      </w:r>
      <w:proofErr w:type="spellEnd"/>
      <w:r>
        <w:t>) a comprehensive assessment of the institutional, regulatory, operational, and financial impacts of rail sector liberalization, together with its key findings and policy implications; and (ii) a proposed strategic re-structuring framework for the 2026–2030 period, including scenarios, assumptions, and priority reform areas. The Consultant will also provide a detailed explanation of the methodological approach applied, transfer all relevant analytical tools and working files underpinning the report to AYGM, and deliver briefing and capacity-building support to a selected group of AYGM staff on the report’s content, practical use, and implementation-oriented implications.</w:t>
      </w:r>
    </w:p>
    <w:p w14:paraId="476F668C" w14:textId="38DC935D" w:rsidR="00FF14A4" w:rsidRPr="00E32E80" w:rsidRDefault="009978BC" w:rsidP="00E32E80">
      <w:pPr>
        <w:spacing w:after="120"/>
        <w:jc w:val="both"/>
        <w:rPr>
          <w:rFonts w:ascii="Times New Roman" w:hAnsi="Times New Roman" w:cs="Times New Roman"/>
          <w:sz w:val="24"/>
          <w:szCs w:val="24"/>
        </w:rPr>
      </w:pPr>
      <w:r w:rsidRPr="00E32E80">
        <w:rPr>
          <w:rFonts w:ascii="Times New Roman" w:hAnsi="Times New Roman" w:cs="Times New Roman"/>
          <w:b/>
          <w:bCs/>
          <w:sz w:val="24"/>
          <w:szCs w:val="24"/>
        </w:rPr>
        <w:t xml:space="preserve">Task 2: Development of </w:t>
      </w:r>
      <w:r w:rsidR="00267025" w:rsidRPr="00E32E80">
        <w:rPr>
          <w:rFonts w:ascii="Times New Roman" w:hAnsi="Times New Roman" w:cs="Times New Roman"/>
          <w:b/>
          <w:bCs/>
          <w:sz w:val="24"/>
          <w:szCs w:val="24"/>
        </w:rPr>
        <w:t>options for viable models for the</w:t>
      </w:r>
      <w:r w:rsidRPr="00E32E80">
        <w:rPr>
          <w:rFonts w:ascii="Times New Roman" w:hAnsi="Times New Roman" w:cs="Times New Roman"/>
          <w:b/>
          <w:bCs/>
          <w:sz w:val="24"/>
          <w:szCs w:val="24"/>
        </w:rPr>
        <w:t xml:space="preserve"> </w:t>
      </w:r>
      <w:r w:rsidR="00267025" w:rsidRPr="00E32E80">
        <w:rPr>
          <w:rFonts w:ascii="Times New Roman" w:hAnsi="Times New Roman" w:cs="Times New Roman"/>
          <w:b/>
          <w:bCs/>
          <w:sz w:val="24"/>
          <w:szCs w:val="24"/>
        </w:rPr>
        <w:t>operation</w:t>
      </w:r>
      <w:r w:rsidR="00EA218A" w:rsidRPr="00E32E80">
        <w:rPr>
          <w:rFonts w:ascii="Times New Roman" w:hAnsi="Times New Roman" w:cs="Times New Roman"/>
          <w:b/>
          <w:bCs/>
          <w:sz w:val="24"/>
          <w:szCs w:val="24"/>
        </w:rPr>
        <w:t>al</w:t>
      </w:r>
      <w:r w:rsidR="00267025" w:rsidRPr="00E32E80">
        <w:rPr>
          <w:rFonts w:ascii="Times New Roman" w:hAnsi="Times New Roman" w:cs="Times New Roman"/>
          <w:b/>
          <w:bCs/>
          <w:sz w:val="24"/>
          <w:szCs w:val="24"/>
        </w:rPr>
        <w:t xml:space="preserve"> and management</w:t>
      </w:r>
      <w:r w:rsidRPr="00E32E80">
        <w:rPr>
          <w:rFonts w:ascii="Times New Roman" w:hAnsi="Times New Roman" w:cs="Times New Roman"/>
          <w:b/>
          <w:bCs/>
          <w:sz w:val="24"/>
          <w:szCs w:val="24"/>
        </w:rPr>
        <w:t xml:space="preserve"> </w:t>
      </w:r>
      <w:r w:rsidR="00267025" w:rsidRPr="00E32E80">
        <w:rPr>
          <w:rFonts w:ascii="Times New Roman" w:hAnsi="Times New Roman" w:cs="Times New Roman"/>
          <w:b/>
          <w:bCs/>
          <w:sz w:val="24"/>
          <w:szCs w:val="24"/>
        </w:rPr>
        <w:t>of</w:t>
      </w:r>
      <w:r w:rsidRPr="00E32E80">
        <w:rPr>
          <w:rFonts w:ascii="Times New Roman" w:hAnsi="Times New Roman" w:cs="Times New Roman"/>
          <w:b/>
          <w:bCs/>
          <w:sz w:val="24"/>
          <w:szCs w:val="24"/>
        </w:rPr>
        <w:t xml:space="preserve"> TCDD-owned logistics centers</w:t>
      </w:r>
    </w:p>
    <w:p w14:paraId="490C63A5" w14:textId="60261F29" w:rsidR="00267025" w:rsidRDefault="009978BC" w:rsidP="00FF14A4">
      <w:pPr>
        <w:jc w:val="both"/>
        <w:rPr>
          <w:rFonts w:ascii="Times New Roman" w:hAnsi="Times New Roman" w:cs="Times New Roman"/>
          <w:sz w:val="24"/>
          <w:szCs w:val="24"/>
        </w:rPr>
      </w:pPr>
      <w:r>
        <w:rPr>
          <w:rFonts w:ascii="Times New Roman" w:hAnsi="Times New Roman" w:cs="Times New Roman"/>
          <w:sz w:val="24"/>
          <w:szCs w:val="24"/>
        </w:rPr>
        <w:t xml:space="preserve">Under this Task the Consultant will </w:t>
      </w:r>
      <w:r w:rsidR="00267025">
        <w:rPr>
          <w:rFonts w:ascii="Times New Roman" w:hAnsi="Times New Roman" w:cs="Times New Roman"/>
          <w:sz w:val="24"/>
          <w:szCs w:val="24"/>
        </w:rPr>
        <w:t xml:space="preserve">furnish </w:t>
      </w:r>
      <w:proofErr w:type="spellStart"/>
      <w:r w:rsidR="00267025">
        <w:rPr>
          <w:rFonts w:ascii="Times New Roman" w:hAnsi="Times New Roman" w:cs="Times New Roman"/>
          <w:sz w:val="24"/>
          <w:szCs w:val="24"/>
        </w:rPr>
        <w:t>MoTI</w:t>
      </w:r>
      <w:proofErr w:type="spellEnd"/>
      <w:r w:rsidR="00267025">
        <w:rPr>
          <w:rFonts w:ascii="Times New Roman" w:hAnsi="Times New Roman" w:cs="Times New Roman"/>
          <w:sz w:val="24"/>
          <w:szCs w:val="24"/>
        </w:rPr>
        <w:t xml:space="preserve">/AYGM with a minimum of </w:t>
      </w:r>
      <w:r w:rsidR="00153A6E">
        <w:rPr>
          <w:rFonts w:ascii="Times New Roman" w:hAnsi="Times New Roman" w:cs="Times New Roman"/>
          <w:sz w:val="24"/>
          <w:szCs w:val="24"/>
        </w:rPr>
        <w:t>2</w:t>
      </w:r>
      <w:r w:rsidR="00267025">
        <w:rPr>
          <w:rFonts w:ascii="Times New Roman" w:hAnsi="Times New Roman" w:cs="Times New Roman"/>
          <w:sz w:val="24"/>
          <w:szCs w:val="24"/>
        </w:rPr>
        <w:t xml:space="preserve"> options for operation</w:t>
      </w:r>
      <w:r w:rsidR="00EA218A">
        <w:rPr>
          <w:rFonts w:ascii="Times New Roman" w:hAnsi="Times New Roman" w:cs="Times New Roman"/>
          <w:sz w:val="24"/>
          <w:szCs w:val="24"/>
        </w:rPr>
        <w:t>al</w:t>
      </w:r>
      <w:r w:rsidR="00267025">
        <w:rPr>
          <w:rFonts w:ascii="Times New Roman" w:hAnsi="Times New Roman" w:cs="Times New Roman"/>
          <w:sz w:val="24"/>
          <w:szCs w:val="24"/>
        </w:rPr>
        <w:t xml:space="preserve"> and management models that </w:t>
      </w:r>
      <w:proofErr w:type="spellStart"/>
      <w:r w:rsidR="00267025">
        <w:rPr>
          <w:rFonts w:ascii="Times New Roman" w:hAnsi="Times New Roman" w:cs="Times New Roman"/>
          <w:sz w:val="24"/>
          <w:szCs w:val="24"/>
        </w:rPr>
        <w:t>MoTI</w:t>
      </w:r>
      <w:proofErr w:type="spellEnd"/>
      <w:r w:rsidR="00267025">
        <w:rPr>
          <w:rFonts w:ascii="Times New Roman" w:hAnsi="Times New Roman" w:cs="Times New Roman"/>
          <w:sz w:val="24"/>
          <w:szCs w:val="24"/>
        </w:rPr>
        <w:t xml:space="preserve"> could adopt to improve the performance of TCDD-owned logistics centers. These alternative models can consider different ownership structures, different approaches to planning and developing these centers, different approaches to operating these </w:t>
      </w:r>
      <w:r w:rsidR="00E357E0">
        <w:rPr>
          <w:rFonts w:ascii="Times New Roman" w:hAnsi="Times New Roman" w:cs="Times New Roman"/>
          <w:sz w:val="24"/>
          <w:szCs w:val="24"/>
        </w:rPr>
        <w:t xml:space="preserve">centers, </w:t>
      </w:r>
      <w:r w:rsidR="00267025">
        <w:rPr>
          <w:rFonts w:ascii="Times New Roman" w:hAnsi="Times New Roman" w:cs="Times New Roman"/>
          <w:sz w:val="24"/>
          <w:szCs w:val="24"/>
        </w:rPr>
        <w:t xml:space="preserve">including with potential private sector participation—different approaches to business development and revenue management for these centers, and the like. </w:t>
      </w:r>
    </w:p>
    <w:p w14:paraId="784C7909" w14:textId="28CC58D0" w:rsidR="00267025" w:rsidRDefault="00267025" w:rsidP="00FF14A4">
      <w:pPr>
        <w:jc w:val="both"/>
        <w:rPr>
          <w:rFonts w:ascii="Times New Roman" w:hAnsi="Times New Roman" w:cs="Times New Roman"/>
          <w:sz w:val="24"/>
          <w:szCs w:val="24"/>
        </w:rPr>
      </w:pPr>
      <w:r>
        <w:rPr>
          <w:rFonts w:ascii="Times New Roman" w:hAnsi="Times New Roman" w:cs="Times New Roman"/>
          <w:sz w:val="24"/>
          <w:szCs w:val="24"/>
        </w:rPr>
        <w:t xml:space="preserve">Task 2 will </w:t>
      </w:r>
      <w:r w:rsidR="009978BC">
        <w:rPr>
          <w:rFonts w:ascii="Times New Roman" w:hAnsi="Times New Roman" w:cs="Times New Roman"/>
          <w:sz w:val="24"/>
          <w:szCs w:val="24"/>
        </w:rPr>
        <w:t>assess the current institutional status</w:t>
      </w:r>
      <w:r>
        <w:rPr>
          <w:rFonts w:ascii="Times New Roman" w:hAnsi="Times New Roman" w:cs="Times New Roman"/>
          <w:sz w:val="24"/>
          <w:szCs w:val="24"/>
        </w:rPr>
        <w:t>,</w:t>
      </w:r>
      <w:r w:rsidR="009978BC">
        <w:rPr>
          <w:rFonts w:ascii="Times New Roman" w:hAnsi="Times New Roman" w:cs="Times New Roman"/>
          <w:sz w:val="24"/>
          <w:szCs w:val="24"/>
        </w:rPr>
        <w:t xml:space="preserve"> </w:t>
      </w:r>
      <w:r>
        <w:rPr>
          <w:rFonts w:ascii="Times New Roman" w:hAnsi="Times New Roman" w:cs="Times New Roman"/>
          <w:sz w:val="24"/>
          <w:szCs w:val="24"/>
        </w:rPr>
        <w:t xml:space="preserve">operational and management practices, and </w:t>
      </w:r>
      <w:r w:rsidR="009978BC">
        <w:rPr>
          <w:rFonts w:ascii="Times New Roman" w:hAnsi="Times New Roman" w:cs="Times New Roman"/>
          <w:sz w:val="24"/>
          <w:szCs w:val="24"/>
        </w:rPr>
        <w:t>performance of TCDD-owned logistics centers</w:t>
      </w:r>
      <w:r>
        <w:rPr>
          <w:rFonts w:ascii="Times New Roman" w:hAnsi="Times New Roman" w:cs="Times New Roman"/>
          <w:sz w:val="24"/>
          <w:szCs w:val="24"/>
        </w:rPr>
        <w:t>. It will then</w:t>
      </w:r>
      <w:r w:rsidR="009978BC">
        <w:rPr>
          <w:rFonts w:ascii="Times New Roman" w:hAnsi="Times New Roman" w:cs="Times New Roman"/>
          <w:sz w:val="24"/>
          <w:szCs w:val="24"/>
        </w:rPr>
        <w:t xml:space="preserve"> benchmark </w:t>
      </w:r>
      <w:r>
        <w:rPr>
          <w:rFonts w:ascii="Times New Roman" w:hAnsi="Times New Roman" w:cs="Times New Roman"/>
          <w:sz w:val="24"/>
          <w:szCs w:val="24"/>
        </w:rPr>
        <w:t>these facilities</w:t>
      </w:r>
      <w:r w:rsidR="009978BC">
        <w:rPr>
          <w:rFonts w:ascii="Times New Roman" w:hAnsi="Times New Roman" w:cs="Times New Roman"/>
          <w:sz w:val="24"/>
          <w:szCs w:val="24"/>
        </w:rPr>
        <w:t xml:space="preserve"> against best practice</w:t>
      </w:r>
      <w:r>
        <w:rPr>
          <w:rFonts w:ascii="Times New Roman" w:hAnsi="Times New Roman" w:cs="Times New Roman"/>
          <w:sz w:val="24"/>
          <w:szCs w:val="24"/>
        </w:rPr>
        <w:t xml:space="preserve"> comparators within and outside Türkiye. And it will</w:t>
      </w:r>
      <w:r w:rsidR="009978BC">
        <w:rPr>
          <w:rFonts w:ascii="Times New Roman" w:hAnsi="Times New Roman" w:cs="Times New Roman"/>
          <w:sz w:val="24"/>
          <w:szCs w:val="24"/>
        </w:rPr>
        <w:t xml:space="preserve"> </w:t>
      </w:r>
      <w:r>
        <w:rPr>
          <w:rFonts w:ascii="Times New Roman" w:hAnsi="Times New Roman" w:cs="Times New Roman"/>
          <w:sz w:val="24"/>
          <w:szCs w:val="24"/>
        </w:rPr>
        <w:t xml:space="preserve">develop options to adjust the </w:t>
      </w:r>
      <w:r w:rsidR="009978BC">
        <w:rPr>
          <w:rFonts w:ascii="Times New Roman" w:hAnsi="Times New Roman" w:cs="Times New Roman"/>
          <w:sz w:val="24"/>
          <w:szCs w:val="24"/>
        </w:rPr>
        <w:t xml:space="preserve">management </w:t>
      </w:r>
      <w:r>
        <w:rPr>
          <w:rFonts w:ascii="Times New Roman" w:hAnsi="Times New Roman" w:cs="Times New Roman"/>
          <w:sz w:val="24"/>
          <w:szCs w:val="24"/>
        </w:rPr>
        <w:t xml:space="preserve">and operating </w:t>
      </w:r>
      <w:r w:rsidR="009978BC">
        <w:rPr>
          <w:rFonts w:ascii="Times New Roman" w:hAnsi="Times New Roman" w:cs="Times New Roman"/>
          <w:sz w:val="24"/>
          <w:szCs w:val="24"/>
        </w:rPr>
        <w:t>model</w:t>
      </w:r>
      <w:r>
        <w:rPr>
          <w:rFonts w:ascii="Times New Roman" w:hAnsi="Times New Roman" w:cs="Times New Roman"/>
          <w:sz w:val="24"/>
          <w:szCs w:val="24"/>
        </w:rPr>
        <w:t xml:space="preserve"> of these facilities that could improve their efficiency and service delivery performance</w:t>
      </w:r>
      <w:r w:rsidR="009978BC">
        <w:rPr>
          <w:rFonts w:ascii="Times New Roman" w:hAnsi="Times New Roman" w:cs="Times New Roman"/>
          <w:sz w:val="24"/>
          <w:szCs w:val="24"/>
        </w:rPr>
        <w:t>.</w:t>
      </w:r>
    </w:p>
    <w:p w14:paraId="0664F7A6" w14:textId="12C9544A" w:rsidR="00873336" w:rsidRPr="00005AAA" w:rsidRDefault="00153A6E" w:rsidP="009B4BD7">
      <w:pPr>
        <w:spacing w:after="240"/>
        <w:jc w:val="both"/>
        <w:rPr>
          <w:rFonts w:ascii="Times New Roman" w:hAnsi="Times New Roman" w:cs="Times New Roman"/>
          <w:sz w:val="24"/>
          <w:szCs w:val="24"/>
        </w:rPr>
      </w:pPr>
      <w:r>
        <w:rPr>
          <w:rFonts w:ascii="Times New Roman" w:hAnsi="Times New Roman" w:cs="Times New Roman"/>
          <w:sz w:val="24"/>
          <w:szCs w:val="24"/>
        </w:rPr>
        <w:t xml:space="preserve">The intention of this Task is to provide </w:t>
      </w:r>
      <w:r w:rsidR="001876E6">
        <w:rPr>
          <w:rFonts w:ascii="Times New Roman" w:hAnsi="Times New Roman" w:cs="Times New Roman"/>
          <w:sz w:val="24"/>
          <w:szCs w:val="24"/>
        </w:rPr>
        <w:t xml:space="preserve">the </w:t>
      </w:r>
      <w:proofErr w:type="spellStart"/>
      <w:r w:rsidR="001876E6">
        <w:rPr>
          <w:rFonts w:ascii="Times New Roman" w:hAnsi="Times New Roman" w:cs="Times New Roman"/>
          <w:sz w:val="24"/>
          <w:szCs w:val="24"/>
        </w:rPr>
        <w:t>GoT</w:t>
      </w:r>
      <w:proofErr w:type="spellEnd"/>
      <w:r w:rsidR="001876E6">
        <w:rPr>
          <w:rFonts w:ascii="Times New Roman" w:hAnsi="Times New Roman" w:cs="Times New Roman"/>
          <w:sz w:val="24"/>
          <w:szCs w:val="24"/>
        </w:rPr>
        <w:t xml:space="preserve"> with a range of </w:t>
      </w:r>
      <w:r>
        <w:rPr>
          <w:rFonts w:ascii="Times New Roman" w:hAnsi="Times New Roman" w:cs="Times New Roman"/>
          <w:sz w:val="24"/>
          <w:szCs w:val="24"/>
        </w:rPr>
        <w:t>options for consideration</w:t>
      </w:r>
      <w:r w:rsidR="001876E6">
        <w:rPr>
          <w:rFonts w:ascii="Times New Roman" w:hAnsi="Times New Roman" w:cs="Times New Roman"/>
          <w:sz w:val="24"/>
          <w:szCs w:val="24"/>
        </w:rPr>
        <w:t>,</w:t>
      </w:r>
      <w:r>
        <w:rPr>
          <w:rFonts w:ascii="Times New Roman" w:hAnsi="Times New Roman" w:cs="Times New Roman"/>
          <w:sz w:val="24"/>
          <w:szCs w:val="24"/>
        </w:rPr>
        <w:t xml:space="preserve"> rather than </w:t>
      </w:r>
      <w:r w:rsidR="001876E6">
        <w:rPr>
          <w:rFonts w:ascii="Times New Roman" w:hAnsi="Times New Roman" w:cs="Times New Roman"/>
          <w:sz w:val="24"/>
          <w:szCs w:val="24"/>
        </w:rPr>
        <w:t>a single path of</w:t>
      </w:r>
      <w:r>
        <w:rPr>
          <w:rFonts w:ascii="Times New Roman" w:hAnsi="Times New Roman" w:cs="Times New Roman"/>
          <w:sz w:val="24"/>
          <w:szCs w:val="24"/>
        </w:rPr>
        <w:t xml:space="preserve"> recommendations, recognizing that the global and Turkish experience with logistics center development is </w:t>
      </w:r>
      <w:r w:rsidR="001876E6">
        <w:rPr>
          <w:rFonts w:ascii="Times New Roman" w:hAnsi="Times New Roman" w:cs="Times New Roman"/>
          <w:sz w:val="24"/>
          <w:szCs w:val="24"/>
        </w:rPr>
        <w:t>diverse</w:t>
      </w:r>
      <w:r>
        <w:rPr>
          <w:rFonts w:ascii="Times New Roman" w:hAnsi="Times New Roman" w:cs="Times New Roman"/>
          <w:sz w:val="24"/>
          <w:szCs w:val="24"/>
        </w:rPr>
        <w:t xml:space="preserve"> and multiple approaches have been tried, with varying results depending on </w:t>
      </w:r>
      <w:r w:rsidR="001876E6">
        <w:rPr>
          <w:rFonts w:ascii="Times New Roman" w:hAnsi="Times New Roman" w:cs="Times New Roman"/>
          <w:sz w:val="24"/>
          <w:szCs w:val="24"/>
        </w:rPr>
        <w:t xml:space="preserve">local </w:t>
      </w:r>
      <w:r>
        <w:rPr>
          <w:rFonts w:ascii="Times New Roman" w:hAnsi="Times New Roman" w:cs="Times New Roman"/>
          <w:sz w:val="24"/>
          <w:szCs w:val="24"/>
        </w:rPr>
        <w:t>context</w:t>
      </w:r>
      <w:r w:rsidR="001876E6">
        <w:rPr>
          <w:rFonts w:ascii="Times New Roman" w:hAnsi="Times New Roman" w:cs="Times New Roman"/>
          <w:sz w:val="24"/>
          <w:szCs w:val="24"/>
        </w:rPr>
        <w:t xml:space="preserve"> and</w:t>
      </w:r>
      <w:r>
        <w:rPr>
          <w:rFonts w:ascii="Times New Roman" w:hAnsi="Times New Roman" w:cs="Times New Roman"/>
          <w:sz w:val="24"/>
          <w:szCs w:val="24"/>
        </w:rPr>
        <w:t xml:space="preserve"> market factors.</w:t>
      </w:r>
    </w:p>
    <w:p w14:paraId="4E8AF5F1" w14:textId="10E20771" w:rsidR="009978BC" w:rsidRDefault="009978BC" w:rsidP="00FF14A4">
      <w:pPr>
        <w:jc w:val="both"/>
        <w:rPr>
          <w:rFonts w:ascii="Times New Roman" w:hAnsi="Times New Roman" w:cs="Times New Roman"/>
          <w:b/>
          <w:bCs/>
          <w:sz w:val="24"/>
          <w:szCs w:val="24"/>
        </w:rPr>
      </w:pPr>
      <w:r w:rsidRPr="009978BC">
        <w:rPr>
          <w:rFonts w:ascii="Times New Roman" w:hAnsi="Times New Roman" w:cs="Times New Roman"/>
          <w:b/>
          <w:bCs/>
          <w:sz w:val="24"/>
          <w:szCs w:val="24"/>
        </w:rPr>
        <w:t>Sub-task 2.1. Current Status</w:t>
      </w:r>
      <w:r w:rsidR="00BA29FB">
        <w:rPr>
          <w:rFonts w:ascii="Times New Roman" w:hAnsi="Times New Roman" w:cs="Times New Roman"/>
          <w:b/>
          <w:bCs/>
          <w:sz w:val="24"/>
          <w:szCs w:val="24"/>
        </w:rPr>
        <w:t>, Practices,</w:t>
      </w:r>
      <w:r w:rsidRPr="009978BC">
        <w:rPr>
          <w:rFonts w:ascii="Times New Roman" w:hAnsi="Times New Roman" w:cs="Times New Roman"/>
          <w:b/>
          <w:bCs/>
          <w:sz w:val="24"/>
          <w:szCs w:val="24"/>
        </w:rPr>
        <w:t xml:space="preserve"> </w:t>
      </w:r>
      <w:r w:rsidR="00267025">
        <w:rPr>
          <w:rFonts w:ascii="Times New Roman" w:hAnsi="Times New Roman" w:cs="Times New Roman"/>
          <w:b/>
          <w:bCs/>
          <w:sz w:val="24"/>
          <w:szCs w:val="24"/>
        </w:rPr>
        <w:t xml:space="preserve">and Performance </w:t>
      </w:r>
      <w:r w:rsidRPr="009978BC">
        <w:rPr>
          <w:rFonts w:ascii="Times New Roman" w:hAnsi="Times New Roman" w:cs="Times New Roman"/>
          <w:b/>
          <w:bCs/>
          <w:sz w:val="24"/>
          <w:szCs w:val="24"/>
        </w:rPr>
        <w:t xml:space="preserve">of TCDD-owned Logistics Centers </w:t>
      </w:r>
    </w:p>
    <w:p w14:paraId="32381499" w14:textId="076C3146" w:rsidR="001876E6" w:rsidRDefault="009978BC" w:rsidP="00FF14A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Under Sub-task 2.1 the Consultant will </w:t>
      </w:r>
      <w:r w:rsidR="00267025">
        <w:rPr>
          <w:rFonts w:ascii="Times New Roman" w:hAnsi="Times New Roman" w:cs="Times New Roman"/>
          <w:sz w:val="24"/>
          <w:szCs w:val="24"/>
        </w:rPr>
        <w:t>assess the current situation of all TCDD-owned logistics centers, including</w:t>
      </w:r>
      <w:r>
        <w:rPr>
          <w:rFonts w:ascii="Times New Roman" w:hAnsi="Times New Roman" w:cs="Times New Roman"/>
          <w:sz w:val="24"/>
          <w:szCs w:val="24"/>
        </w:rPr>
        <w:t xml:space="preserve"> </w:t>
      </w:r>
      <w:r w:rsidR="00267025">
        <w:rPr>
          <w:rFonts w:ascii="Times New Roman" w:hAnsi="Times New Roman" w:cs="Times New Roman"/>
          <w:sz w:val="24"/>
          <w:szCs w:val="24"/>
        </w:rPr>
        <w:t xml:space="preserve">facilities already </w:t>
      </w:r>
      <w:r>
        <w:rPr>
          <w:rFonts w:ascii="Times New Roman" w:hAnsi="Times New Roman" w:cs="Times New Roman"/>
          <w:sz w:val="24"/>
          <w:szCs w:val="24"/>
        </w:rPr>
        <w:t>operational, under-construction, and planned</w:t>
      </w:r>
      <w:r w:rsidR="00267025">
        <w:rPr>
          <w:rFonts w:ascii="Times New Roman" w:hAnsi="Times New Roman" w:cs="Times New Roman"/>
          <w:sz w:val="24"/>
          <w:szCs w:val="24"/>
        </w:rPr>
        <w:t>.</w:t>
      </w:r>
      <w:r>
        <w:rPr>
          <w:rFonts w:ascii="Times New Roman" w:hAnsi="Times New Roman" w:cs="Times New Roman"/>
          <w:sz w:val="24"/>
          <w:szCs w:val="24"/>
        </w:rPr>
        <w:t xml:space="preserve"> </w:t>
      </w:r>
      <w:r w:rsidR="00267025">
        <w:rPr>
          <w:rFonts w:ascii="Times New Roman" w:hAnsi="Times New Roman" w:cs="Times New Roman"/>
          <w:sz w:val="24"/>
          <w:szCs w:val="24"/>
        </w:rPr>
        <w:t xml:space="preserve">This </w:t>
      </w:r>
      <w:r w:rsidR="00E357E0">
        <w:rPr>
          <w:rFonts w:ascii="Times New Roman" w:hAnsi="Times New Roman" w:cs="Times New Roman"/>
          <w:sz w:val="24"/>
          <w:szCs w:val="24"/>
        </w:rPr>
        <w:t>current situation</w:t>
      </w:r>
      <w:r w:rsidR="00267025">
        <w:rPr>
          <w:rFonts w:ascii="Times New Roman" w:hAnsi="Times New Roman" w:cs="Times New Roman"/>
          <w:sz w:val="24"/>
          <w:szCs w:val="24"/>
        </w:rPr>
        <w:t xml:space="preserve"> assessment </w:t>
      </w:r>
      <w:r w:rsidR="001876E6">
        <w:rPr>
          <w:rFonts w:ascii="Times New Roman" w:hAnsi="Times New Roman" w:cs="Times New Roman"/>
          <w:sz w:val="24"/>
          <w:szCs w:val="24"/>
        </w:rPr>
        <w:t>comprise</w:t>
      </w:r>
      <w:r w:rsidR="00EA218A">
        <w:rPr>
          <w:rFonts w:ascii="Times New Roman" w:hAnsi="Times New Roman" w:cs="Times New Roman"/>
          <w:sz w:val="24"/>
          <w:szCs w:val="24"/>
        </w:rPr>
        <w:t>s</w:t>
      </w:r>
      <w:r w:rsidR="00267025">
        <w:rPr>
          <w:rFonts w:ascii="Times New Roman" w:hAnsi="Times New Roman" w:cs="Times New Roman"/>
          <w:sz w:val="24"/>
          <w:szCs w:val="24"/>
        </w:rPr>
        <w:t xml:space="preserve"> 3 parts: </w:t>
      </w:r>
    </w:p>
    <w:p w14:paraId="3BA9C99E" w14:textId="3A01B5DC" w:rsidR="001876E6" w:rsidRDefault="001876E6" w:rsidP="00873336">
      <w:pPr>
        <w:pStyle w:val="ListeParagraf"/>
        <w:numPr>
          <w:ilvl w:val="1"/>
          <w:numId w:val="2"/>
        </w:numPr>
        <w:spacing w:after="120"/>
        <w:ind w:left="360" w:hanging="360"/>
        <w:contextualSpacing w:val="0"/>
        <w:jc w:val="both"/>
        <w:rPr>
          <w:rFonts w:ascii="Times New Roman" w:hAnsi="Times New Roman" w:cs="Times New Roman"/>
          <w:sz w:val="24"/>
          <w:szCs w:val="24"/>
        </w:rPr>
      </w:pPr>
      <w:r w:rsidRPr="001876E6">
        <w:rPr>
          <w:rFonts w:ascii="Times New Roman" w:hAnsi="Times New Roman" w:cs="Times New Roman"/>
          <w:b/>
          <w:bCs/>
          <w:sz w:val="24"/>
          <w:szCs w:val="24"/>
        </w:rPr>
        <w:t>Institution</w:t>
      </w:r>
      <w:r w:rsidR="008438F9">
        <w:rPr>
          <w:rFonts w:ascii="Times New Roman" w:hAnsi="Times New Roman" w:cs="Times New Roman"/>
          <w:b/>
          <w:bCs/>
          <w:sz w:val="24"/>
          <w:szCs w:val="24"/>
        </w:rPr>
        <w:t xml:space="preserve">al, governance, </w:t>
      </w:r>
      <w:r w:rsidRPr="001876E6">
        <w:rPr>
          <w:rFonts w:ascii="Times New Roman" w:hAnsi="Times New Roman" w:cs="Times New Roman"/>
          <w:b/>
          <w:bCs/>
          <w:sz w:val="24"/>
          <w:szCs w:val="24"/>
        </w:rPr>
        <w:t xml:space="preserve">and management </w:t>
      </w:r>
      <w:r w:rsidR="00E357E0" w:rsidRPr="001876E6">
        <w:rPr>
          <w:rFonts w:ascii="Times New Roman" w:hAnsi="Times New Roman" w:cs="Times New Roman"/>
          <w:b/>
          <w:bCs/>
          <w:sz w:val="24"/>
          <w:szCs w:val="24"/>
        </w:rPr>
        <w:t>models</w:t>
      </w:r>
      <w:r w:rsidRPr="001876E6">
        <w:rPr>
          <w:rFonts w:ascii="Times New Roman" w:hAnsi="Times New Roman" w:cs="Times New Roman"/>
          <w:b/>
          <w:bCs/>
          <w:sz w:val="24"/>
          <w:szCs w:val="24"/>
        </w:rPr>
        <w:t>.</w:t>
      </w:r>
      <w:r>
        <w:rPr>
          <w:rFonts w:ascii="Times New Roman" w:hAnsi="Times New Roman" w:cs="Times New Roman"/>
          <w:sz w:val="24"/>
          <w:szCs w:val="24"/>
        </w:rPr>
        <w:t xml:space="preserve"> </w:t>
      </w:r>
      <w:r w:rsidR="008438F9">
        <w:rPr>
          <w:rFonts w:ascii="Times New Roman" w:hAnsi="Times New Roman" w:cs="Times New Roman"/>
          <w:sz w:val="24"/>
          <w:szCs w:val="24"/>
        </w:rPr>
        <w:t>T</w:t>
      </w:r>
      <w:r>
        <w:rPr>
          <w:rFonts w:ascii="Times New Roman" w:hAnsi="Times New Roman" w:cs="Times New Roman"/>
          <w:sz w:val="24"/>
          <w:szCs w:val="24"/>
        </w:rPr>
        <w:t>he Consultant will describe the i</w:t>
      </w:r>
      <w:r w:rsidR="00267025" w:rsidRPr="001876E6">
        <w:rPr>
          <w:rFonts w:ascii="Times New Roman" w:hAnsi="Times New Roman" w:cs="Times New Roman"/>
          <w:sz w:val="24"/>
          <w:szCs w:val="24"/>
        </w:rPr>
        <w:t>nstitutional</w:t>
      </w:r>
      <w:r w:rsidR="008438F9">
        <w:rPr>
          <w:rFonts w:ascii="Times New Roman" w:hAnsi="Times New Roman" w:cs="Times New Roman"/>
          <w:sz w:val="24"/>
          <w:szCs w:val="24"/>
        </w:rPr>
        <w:t>, governance,</w:t>
      </w:r>
      <w:r>
        <w:rPr>
          <w:rFonts w:ascii="Times New Roman" w:hAnsi="Times New Roman" w:cs="Times New Roman"/>
          <w:sz w:val="24"/>
          <w:szCs w:val="24"/>
        </w:rPr>
        <w:t xml:space="preserve"> and </w:t>
      </w:r>
      <w:r w:rsidR="00BA29FB" w:rsidRPr="001876E6">
        <w:rPr>
          <w:rFonts w:ascii="Times New Roman" w:hAnsi="Times New Roman" w:cs="Times New Roman"/>
          <w:sz w:val="24"/>
          <w:szCs w:val="24"/>
        </w:rPr>
        <w:t>management structure</w:t>
      </w:r>
      <w:r w:rsidR="00267025" w:rsidRPr="001876E6">
        <w:rPr>
          <w:rFonts w:ascii="Times New Roman" w:hAnsi="Times New Roman" w:cs="Times New Roman"/>
          <w:sz w:val="24"/>
          <w:szCs w:val="24"/>
        </w:rPr>
        <w:t xml:space="preserve"> of these facilities</w:t>
      </w:r>
      <w:r w:rsidR="008438F9">
        <w:rPr>
          <w:rFonts w:ascii="Times New Roman" w:hAnsi="Times New Roman" w:cs="Times New Roman"/>
          <w:sz w:val="24"/>
          <w:szCs w:val="24"/>
        </w:rPr>
        <w:t>, including</w:t>
      </w:r>
      <w:r w:rsidR="00BA29FB" w:rsidRPr="001876E6">
        <w:rPr>
          <w:rFonts w:ascii="Times New Roman" w:hAnsi="Times New Roman" w:cs="Times New Roman"/>
          <w:sz w:val="24"/>
          <w:szCs w:val="24"/>
        </w:rPr>
        <w:t xml:space="preserve"> their ownership structure</w:t>
      </w:r>
      <w:r>
        <w:rPr>
          <w:rFonts w:ascii="Times New Roman" w:hAnsi="Times New Roman" w:cs="Times New Roman"/>
          <w:sz w:val="24"/>
          <w:szCs w:val="24"/>
        </w:rPr>
        <w:t xml:space="preserve"> and institutional positioning</w:t>
      </w:r>
      <w:r w:rsidR="00BA29FB" w:rsidRPr="001876E6">
        <w:rPr>
          <w:rFonts w:ascii="Times New Roman" w:hAnsi="Times New Roman" w:cs="Times New Roman"/>
          <w:sz w:val="24"/>
          <w:szCs w:val="24"/>
        </w:rPr>
        <w:t xml:space="preserve"> within </w:t>
      </w:r>
      <w:proofErr w:type="spellStart"/>
      <w:r w:rsidR="00BA29FB" w:rsidRPr="001876E6">
        <w:rPr>
          <w:rFonts w:ascii="Times New Roman" w:hAnsi="Times New Roman" w:cs="Times New Roman"/>
          <w:sz w:val="24"/>
          <w:szCs w:val="24"/>
        </w:rPr>
        <w:t>MoTI</w:t>
      </w:r>
      <w:proofErr w:type="spellEnd"/>
      <w:r w:rsidR="008438F9">
        <w:rPr>
          <w:rFonts w:ascii="Times New Roman" w:hAnsi="Times New Roman" w:cs="Times New Roman"/>
          <w:sz w:val="24"/>
          <w:szCs w:val="24"/>
        </w:rPr>
        <w:t>,</w:t>
      </w:r>
      <w:r w:rsidR="00BA29FB" w:rsidRPr="001876E6">
        <w:rPr>
          <w:rFonts w:ascii="Times New Roman" w:hAnsi="Times New Roman" w:cs="Times New Roman"/>
          <w:sz w:val="24"/>
          <w:szCs w:val="24"/>
        </w:rPr>
        <w:t xml:space="preserve"> </w:t>
      </w:r>
      <w:r w:rsidR="008438F9">
        <w:rPr>
          <w:rFonts w:ascii="Times New Roman" w:hAnsi="Times New Roman" w:cs="Times New Roman"/>
          <w:sz w:val="24"/>
          <w:szCs w:val="24"/>
        </w:rPr>
        <w:t xml:space="preserve">and </w:t>
      </w:r>
      <w:r w:rsidR="00BA29FB" w:rsidRPr="001876E6">
        <w:rPr>
          <w:rFonts w:ascii="Times New Roman" w:hAnsi="Times New Roman" w:cs="Times New Roman"/>
          <w:sz w:val="24"/>
          <w:szCs w:val="24"/>
        </w:rPr>
        <w:t>the way they are regulated</w:t>
      </w:r>
      <w:r w:rsidR="008438F9">
        <w:rPr>
          <w:rFonts w:ascii="Times New Roman" w:hAnsi="Times New Roman" w:cs="Times New Roman"/>
          <w:sz w:val="24"/>
          <w:szCs w:val="24"/>
        </w:rPr>
        <w:t xml:space="preserve"> (for example, as to tariffs and other competition related matters)</w:t>
      </w:r>
      <w:r w:rsidR="00BA29FB" w:rsidRPr="001876E6">
        <w:rPr>
          <w:rFonts w:ascii="Times New Roman" w:hAnsi="Times New Roman" w:cs="Times New Roman"/>
          <w:sz w:val="24"/>
          <w:szCs w:val="24"/>
        </w:rPr>
        <w:t xml:space="preserve"> and governed</w:t>
      </w:r>
      <w:r w:rsidR="008438F9">
        <w:rPr>
          <w:rFonts w:ascii="Times New Roman" w:hAnsi="Times New Roman" w:cs="Times New Roman"/>
          <w:sz w:val="24"/>
          <w:szCs w:val="24"/>
        </w:rPr>
        <w:t xml:space="preserve"> (e.g., contractual models, access rules, etc.</w:t>
      </w:r>
      <w:proofErr w:type="gramStart"/>
      <w:r w:rsidR="008438F9">
        <w:rPr>
          <w:rFonts w:ascii="Times New Roman" w:hAnsi="Times New Roman" w:cs="Times New Roman"/>
          <w:sz w:val="24"/>
          <w:szCs w:val="24"/>
        </w:rPr>
        <w:t>)</w:t>
      </w:r>
      <w:r>
        <w:rPr>
          <w:rFonts w:ascii="Times New Roman" w:hAnsi="Times New Roman" w:cs="Times New Roman"/>
          <w:sz w:val="24"/>
          <w:szCs w:val="24"/>
        </w:rPr>
        <w:t>;</w:t>
      </w:r>
      <w:proofErr w:type="gramEnd"/>
    </w:p>
    <w:p w14:paraId="56822D68" w14:textId="0CB8A502" w:rsidR="00CB26E5" w:rsidRPr="00873336" w:rsidRDefault="001876E6" w:rsidP="00873336">
      <w:pPr>
        <w:pStyle w:val="ListeParagraf"/>
        <w:numPr>
          <w:ilvl w:val="1"/>
          <w:numId w:val="2"/>
        </w:numPr>
        <w:spacing w:after="120"/>
        <w:ind w:left="360" w:hanging="360"/>
        <w:contextualSpacing w:val="0"/>
        <w:jc w:val="both"/>
        <w:rPr>
          <w:rFonts w:ascii="Times New Roman" w:hAnsi="Times New Roman" w:cs="Times New Roman"/>
          <w:sz w:val="24"/>
          <w:szCs w:val="24"/>
        </w:rPr>
      </w:pPr>
      <w:r>
        <w:rPr>
          <w:rFonts w:ascii="Times New Roman" w:hAnsi="Times New Roman" w:cs="Times New Roman"/>
          <w:b/>
          <w:bCs/>
          <w:sz w:val="24"/>
          <w:szCs w:val="24"/>
        </w:rPr>
        <w:t>Operational</w:t>
      </w:r>
      <w:r w:rsidR="008438F9">
        <w:rPr>
          <w:rFonts w:ascii="Times New Roman" w:hAnsi="Times New Roman" w:cs="Times New Roman"/>
          <w:b/>
          <w:bCs/>
          <w:sz w:val="24"/>
          <w:szCs w:val="24"/>
        </w:rPr>
        <w:t xml:space="preserve"> and business</w:t>
      </w:r>
      <w:r>
        <w:rPr>
          <w:rFonts w:ascii="Times New Roman" w:hAnsi="Times New Roman" w:cs="Times New Roman"/>
          <w:b/>
          <w:bCs/>
          <w:sz w:val="24"/>
          <w:szCs w:val="24"/>
        </w:rPr>
        <w:t xml:space="preserve"> model.</w:t>
      </w:r>
      <w:r>
        <w:rPr>
          <w:rFonts w:ascii="Times New Roman" w:hAnsi="Times New Roman" w:cs="Times New Roman"/>
          <w:sz w:val="24"/>
          <w:szCs w:val="24"/>
        </w:rPr>
        <w:t xml:space="preserve"> F</w:t>
      </w:r>
      <w:r w:rsidR="00BA29FB" w:rsidRPr="001876E6">
        <w:rPr>
          <w:rFonts w:ascii="Times New Roman" w:hAnsi="Times New Roman" w:cs="Times New Roman"/>
          <w:sz w:val="24"/>
          <w:szCs w:val="24"/>
        </w:rPr>
        <w:t>or operational</w:t>
      </w:r>
      <w:r>
        <w:rPr>
          <w:rFonts w:ascii="Times New Roman" w:hAnsi="Times New Roman" w:cs="Times New Roman"/>
          <w:sz w:val="24"/>
          <w:szCs w:val="24"/>
        </w:rPr>
        <w:t>/active</w:t>
      </w:r>
      <w:r w:rsidR="00BA29FB" w:rsidRPr="001876E6">
        <w:rPr>
          <w:rFonts w:ascii="Times New Roman" w:hAnsi="Times New Roman" w:cs="Times New Roman"/>
          <w:sz w:val="24"/>
          <w:szCs w:val="24"/>
        </w:rPr>
        <w:t xml:space="preserve"> centers,</w:t>
      </w:r>
      <w:r>
        <w:rPr>
          <w:rFonts w:ascii="Times New Roman" w:hAnsi="Times New Roman" w:cs="Times New Roman"/>
          <w:sz w:val="24"/>
          <w:szCs w:val="24"/>
        </w:rPr>
        <w:t xml:space="preserve"> whether individually or as a group depending on </w:t>
      </w:r>
      <w:r w:rsidR="009B4BD7">
        <w:rPr>
          <w:rFonts w:ascii="Times New Roman" w:hAnsi="Times New Roman" w:cs="Times New Roman"/>
          <w:sz w:val="24"/>
          <w:szCs w:val="24"/>
        </w:rPr>
        <w:t>what is most appropriate for each sub</w:t>
      </w:r>
      <w:r>
        <w:rPr>
          <w:rFonts w:ascii="Times New Roman" w:hAnsi="Times New Roman" w:cs="Times New Roman"/>
          <w:sz w:val="24"/>
          <w:szCs w:val="24"/>
        </w:rPr>
        <w:t>topic,</w:t>
      </w:r>
      <w:r w:rsidR="00BA29FB" w:rsidRPr="001876E6">
        <w:rPr>
          <w:rFonts w:ascii="Times New Roman" w:hAnsi="Times New Roman" w:cs="Times New Roman"/>
          <w:sz w:val="24"/>
          <w:szCs w:val="24"/>
        </w:rPr>
        <w:t xml:space="preserve"> </w:t>
      </w:r>
      <w:r w:rsidR="00267025" w:rsidRPr="001876E6">
        <w:rPr>
          <w:rFonts w:ascii="Times New Roman" w:hAnsi="Times New Roman" w:cs="Times New Roman"/>
          <w:sz w:val="24"/>
          <w:szCs w:val="24"/>
        </w:rPr>
        <w:t>the</w:t>
      </w:r>
      <w:r>
        <w:rPr>
          <w:rFonts w:ascii="Times New Roman" w:hAnsi="Times New Roman" w:cs="Times New Roman"/>
          <w:sz w:val="24"/>
          <w:szCs w:val="24"/>
        </w:rPr>
        <w:t xml:space="preserve"> Consultant will describe</w:t>
      </w:r>
      <w:r w:rsidR="00267025" w:rsidRPr="001876E6">
        <w:rPr>
          <w:rFonts w:ascii="Times New Roman" w:hAnsi="Times New Roman" w:cs="Times New Roman"/>
          <w:sz w:val="24"/>
          <w:szCs w:val="24"/>
        </w:rPr>
        <w:t xml:space="preserve"> key </w:t>
      </w:r>
      <w:r>
        <w:rPr>
          <w:rFonts w:ascii="Times New Roman" w:hAnsi="Times New Roman" w:cs="Times New Roman"/>
          <w:sz w:val="24"/>
          <w:szCs w:val="24"/>
        </w:rPr>
        <w:t>service delivery</w:t>
      </w:r>
      <w:r w:rsidR="00267025" w:rsidRPr="001876E6">
        <w:rPr>
          <w:rFonts w:ascii="Times New Roman" w:hAnsi="Times New Roman" w:cs="Times New Roman"/>
          <w:sz w:val="24"/>
          <w:szCs w:val="24"/>
        </w:rPr>
        <w:t xml:space="preserve"> practices (e.g., </w:t>
      </w:r>
      <w:r w:rsidR="008438F9">
        <w:rPr>
          <w:rFonts w:ascii="Times New Roman" w:hAnsi="Times New Roman" w:cs="Times New Roman"/>
          <w:sz w:val="24"/>
          <w:szCs w:val="24"/>
        </w:rPr>
        <w:t xml:space="preserve">catchment area/hinterland and key origin-destination lanes served, </w:t>
      </w:r>
      <w:r w:rsidR="00267025" w:rsidRPr="001876E6">
        <w:rPr>
          <w:rFonts w:ascii="Times New Roman" w:hAnsi="Times New Roman" w:cs="Times New Roman"/>
          <w:sz w:val="24"/>
          <w:szCs w:val="24"/>
        </w:rPr>
        <w:t xml:space="preserve">typology of services offered, </w:t>
      </w:r>
      <w:r w:rsidR="008438F9">
        <w:rPr>
          <w:rFonts w:ascii="Times New Roman" w:hAnsi="Times New Roman" w:cs="Times New Roman"/>
          <w:sz w:val="24"/>
          <w:szCs w:val="24"/>
        </w:rPr>
        <w:t xml:space="preserve">manner in which those </w:t>
      </w:r>
      <w:r w:rsidR="00267025" w:rsidRPr="001876E6">
        <w:rPr>
          <w:rFonts w:ascii="Times New Roman" w:hAnsi="Times New Roman" w:cs="Times New Roman"/>
          <w:sz w:val="24"/>
          <w:szCs w:val="24"/>
        </w:rPr>
        <w:t>services are delivered, key revenue and cost management practices</w:t>
      </w:r>
      <w:r w:rsidR="00BA29FB" w:rsidRPr="001876E6">
        <w:rPr>
          <w:rFonts w:ascii="Times New Roman" w:hAnsi="Times New Roman" w:cs="Times New Roman"/>
          <w:sz w:val="24"/>
          <w:szCs w:val="24"/>
        </w:rPr>
        <w:t xml:space="preserve">, </w:t>
      </w:r>
      <w:r w:rsidR="008438F9">
        <w:rPr>
          <w:rFonts w:ascii="Times New Roman" w:hAnsi="Times New Roman" w:cs="Times New Roman"/>
          <w:sz w:val="24"/>
          <w:szCs w:val="24"/>
        </w:rPr>
        <w:t>and the like</w:t>
      </w:r>
      <w:r w:rsidR="00BA29FB" w:rsidRPr="001876E6">
        <w:rPr>
          <w:rFonts w:ascii="Times New Roman" w:hAnsi="Times New Roman" w:cs="Times New Roman"/>
          <w:sz w:val="24"/>
          <w:szCs w:val="24"/>
        </w:rPr>
        <w:t>)</w:t>
      </w:r>
      <w:r w:rsidR="008438F9">
        <w:rPr>
          <w:rFonts w:ascii="Times New Roman" w:hAnsi="Times New Roman" w:cs="Times New Roman"/>
          <w:sz w:val="24"/>
          <w:szCs w:val="24"/>
        </w:rPr>
        <w:t xml:space="preserve">. For </w:t>
      </w:r>
      <w:r w:rsidR="00BA29FB" w:rsidRPr="001876E6">
        <w:rPr>
          <w:rFonts w:ascii="Times New Roman" w:hAnsi="Times New Roman" w:cs="Times New Roman"/>
          <w:sz w:val="24"/>
          <w:szCs w:val="24"/>
        </w:rPr>
        <w:t>non-operational centers (</w:t>
      </w:r>
      <w:r w:rsidR="008438F9">
        <w:rPr>
          <w:rFonts w:ascii="Times New Roman" w:hAnsi="Times New Roman" w:cs="Times New Roman"/>
          <w:sz w:val="24"/>
          <w:szCs w:val="24"/>
        </w:rPr>
        <w:t xml:space="preserve">i.e., </w:t>
      </w:r>
      <w:r w:rsidR="00BA29FB" w:rsidRPr="001876E6">
        <w:rPr>
          <w:rFonts w:ascii="Times New Roman" w:hAnsi="Times New Roman" w:cs="Times New Roman"/>
          <w:sz w:val="24"/>
          <w:szCs w:val="24"/>
        </w:rPr>
        <w:t>under construction or planned), the</w:t>
      </w:r>
      <w:r w:rsidR="008438F9">
        <w:rPr>
          <w:rFonts w:ascii="Times New Roman" w:hAnsi="Times New Roman" w:cs="Times New Roman"/>
          <w:sz w:val="24"/>
          <w:szCs w:val="24"/>
        </w:rPr>
        <w:t xml:space="preserve"> Consultant will describe</w:t>
      </w:r>
      <w:r w:rsidR="00BA29FB" w:rsidRPr="001876E6">
        <w:rPr>
          <w:rFonts w:ascii="Times New Roman" w:hAnsi="Times New Roman" w:cs="Times New Roman"/>
          <w:sz w:val="24"/>
          <w:szCs w:val="24"/>
        </w:rPr>
        <w:t xml:space="preserve"> key planning practices (</w:t>
      </w:r>
      <w:r w:rsidR="00CB26E5">
        <w:rPr>
          <w:rFonts w:ascii="Times New Roman" w:hAnsi="Times New Roman" w:cs="Times New Roman"/>
          <w:sz w:val="24"/>
          <w:szCs w:val="24"/>
        </w:rPr>
        <w:t xml:space="preserve">e.g., </w:t>
      </w:r>
      <w:r w:rsidR="008438F9">
        <w:rPr>
          <w:rFonts w:ascii="Times New Roman" w:hAnsi="Times New Roman" w:cs="Times New Roman"/>
          <w:sz w:val="24"/>
          <w:szCs w:val="24"/>
        </w:rPr>
        <w:t xml:space="preserve">feasibility assessments, </w:t>
      </w:r>
      <w:r w:rsidR="00CB26E5">
        <w:rPr>
          <w:rFonts w:ascii="Times New Roman" w:hAnsi="Times New Roman" w:cs="Times New Roman"/>
          <w:sz w:val="24"/>
          <w:szCs w:val="24"/>
        </w:rPr>
        <w:t>facility</w:t>
      </w:r>
      <w:r w:rsidR="00BA29FB" w:rsidRPr="001876E6">
        <w:rPr>
          <w:rFonts w:ascii="Times New Roman" w:hAnsi="Times New Roman" w:cs="Times New Roman"/>
          <w:sz w:val="24"/>
          <w:szCs w:val="24"/>
        </w:rPr>
        <w:t xml:space="preserve"> location </w:t>
      </w:r>
      <w:r w:rsidR="00CB26E5">
        <w:rPr>
          <w:rFonts w:ascii="Times New Roman" w:hAnsi="Times New Roman" w:cs="Times New Roman"/>
          <w:sz w:val="24"/>
          <w:szCs w:val="24"/>
        </w:rPr>
        <w:t xml:space="preserve">and sizing </w:t>
      </w:r>
      <w:r w:rsidR="00BA29FB" w:rsidRPr="001876E6">
        <w:rPr>
          <w:rFonts w:ascii="Times New Roman" w:hAnsi="Times New Roman" w:cs="Times New Roman"/>
          <w:sz w:val="24"/>
          <w:szCs w:val="24"/>
        </w:rPr>
        <w:t>decisions, funding and construction planning</w:t>
      </w:r>
      <w:r w:rsidR="008438F9">
        <w:rPr>
          <w:rFonts w:ascii="Times New Roman" w:hAnsi="Times New Roman" w:cs="Times New Roman"/>
          <w:sz w:val="24"/>
          <w:szCs w:val="24"/>
        </w:rPr>
        <w:t xml:space="preserve"> approaches,</w:t>
      </w:r>
      <w:r w:rsidR="00BA29FB" w:rsidRPr="001876E6">
        <w:rPr>
          <w:rFonts w:ascii="Times New Roman" w:hAnsi="Times New Roman" w:cs="Times New Roman"/>
          <w:sz w:val="24"/>
          <w:szCs w:val="24"/>
        </w:rPr>
        <w:t xml:space="preserve"> etc.); and </w:t>
      </w:r>
    </w:p>
    <w:p w14:paraId="0821A53F" w14:textId="1C840E80" w:rsidR="009978BC" w:rsidRPr="001876E6" w:rsidRDefault="00CB26E5" w:rsidP="009B4BD7">
      <w:pPr>
        <w:pStyle w:val="ListeParagraf"/>
        <w:numPr>
          <w:ilvl w:val="1"/>
          <w:numId w:val="2"/>
        </w:numPr>
        <w:spacing w:after="240"/>
        <w:ind w:left="360" w:hanging="360"/>
        <w:contextualSpacing w:val="0"/>
        <w:jc w:val="both"/>
        <w:rPr>
          <w:rFonts w:ascii="Times New Roman" w:hAnsi="Times New Roman" w:cs="Times New Roman"/>
          <w:sz w:val="24"/>
          <w:szCs w:val="24"/>
        </w:rPr>
      </w:pPr>
      <w:r>
        <w:rPr>
          <w:rFonts w:ascii="Times New Roman" w:hAnsi="Times New Roman" w:cs="Times New Roman"/>
          <w:b/>
          <w:bCs/>
          <w:sz w:val="24"/>
          <w:szCs w:val="24"/>
        </w:rPr>
        <w:t>Current p</w:t>
      </w:r>
      <w:r w:rsidRPr="00CB26E5">
        <w:rPr>
          <w:rFonts w:ascii="Times New Roman" w:hAnsi="Times New Roman" w:cs="Times New Roman"/>
          <w:b/>
          <w:bCs/>
          <w:sz w:val="24"/>
          <w:szCs w:val="24"/>
        </w:rPr>
        <w:t>erformance.</w:t>
      </w:r>
      <w:r>
        <w:rPr>
          <w:rFonts w:ascii="Times New Roman" w:hAnsi="Times New Roman" w:cs="Times New Roman"/>
          <w:sz w:val="24"/>
          <w:szCs w:val="24"/>
        </w:rPr>
        <w:t xml:space="preserve"> F</w:t>
      </w:r>
      <w:r w:rsidR="00BA29FB" w:rsidRPr="001876E6">
        <w:rPr>
          <w:rFonts w:ascii="Times New Roman" w:hAnsi="Times New Roman" w:cs="Times New Roman"/>
          <w:sz w:val="24"/>
          <w:szCs w:val="24"/>
        </w:rPr>
        <w:t xml:space="preserve">or </w:t>
      </w:r>
      <w:r w:rsidRPr="009B4BD7">
        <w:rPr>
          <w:rFonts w:ascii="Times New Roman" w:hAnsi="Times New Roman" w:cs="Times New Roman"/>
          <w:i/>
          <w:iCs/>
          <w:sz w:val="24"/>
          <w:szCs w:val="24"/>
        </w:rPr>
        <w:t xml:space="preserve">each </w:t>
      </w:r>
      <w:r w:rsidR="00BA29FB" w:rsidRPr="001876E6">
        <w:rPr>
          <w:rFonts w:ascii="Times New Roman" w:hAnsi="Times New Roman" w:cs="Times New Roman"/>
          <w:sz w:val="24"/>
          <w:szCs w:val="24"/>
        </w:rPr>
        <w:t>operational center</w:t>
      </w:r>
      <w:r>
        <w:rPr>
          <w:rFonts w:ascii="Times New Roman" w:hAnsi="Times New Roman" w:cs="Times New Roman"/>
          <w:sz w:val="24"/>
          <w:szCs w:val="24"/>
        </w:rPr>
        <w:t xml:space="preserve"> individually,</w:t>
      </w:r>
      <w:r w:rsidR="00BA29FB" w:rsidRPr="001876E6">
        <w:rPr>
          <w:rFonts w:ascii="Times New Roman" w:hAnsi="Times New Roman" w:cs="Times New Roman"/>
          <w:sz w:val="24"/>
          <w:szCs w:val="24"/>
        </w:rPr>
        <w:t xml:space="preserve"> the sub-task will describe in quantitative terms their performance, using key metrics that the Consultant will propose and agree with AYGM</w:t>
      </w:r>
      <w:r w:rsidR="009B4BD7">
        <w:rPr>
          <w:rFonts w:ascii="Times New Roman" w:hAnsi="Times New Roman" w:cs="Times New Roman"/>
          <w:sz w:val="24"/>
          <w:szCs w:val="24"/>
        </w:rPr>
        <w:t>, with comments from the World Bank</w:t>
      </w:r>
      <w:r w:rsidR="00BA29FB" w:rsidRPr="001876E6">
        <w:rPr>
          <w:rFonts w:ascii="Times New Roman" w:hAnsi="Times New Roman" w:cs="Times New Roman"/>
          <w:sz w:val="24"/>
          <w:szCs w:val="24"/>
        </w:rPr>
        <w:t xml:space="preserve">, including </w:t>
      </w:r>
      <w:r w:rsidR="009B4BD7">
        <w:rPr>
          <w:rFonts w:ascii="Times New Roman" w:hAnsi="Times New Roman" w:cs="Times New Roman"/>
          <w:sz w:val="24"/>
          <w:szCs w:val="24"/>
        </w:rPr>
        <w:t xml:space="preserve">basic descriptive information (location, size, capacity, </w:t>
      </w:r>
      <w:r w:rsidR="008F207F">
        <w:rPr>
          <w:rFonts w:ascii="Times New Roman" w:hAnsi="Times New Roman" w:cs="Times New Roman"/>
          <w:sz w:val="24"/>
          <w:szCs w:val="24"/>
        </w:rPr>
        <w:t>layout</w:t>
      </w:r>
      <w:r w:rsidR="009B4BD7">
        <w:rPr>
          <w:rFonts w:ascii="Times New Roman" w:hAnsi="Times New Roman" w:cs="Times New Roman"/>
          <w:sz w:val="24"/>
          <w:szCs w:val="24"/>
        </w:rPr>
        <w:t xml:space="preserve">), </w:t>
      </w:r>
      <w:r w:rsidR="00BA29FB" w:rsidRPr="001876E6">
        <w:rPr>
          <w:rFonts w:ascii="Times New Roman" w:hAnsi="Times New Roman" w:cs="Times New Roman"/>
          <w:sz w:val="24"/>
          <w:szCs w:val="24"/>
        </w:rPr>
        <w:t xml:space="preserve">operational metrics </w:t>
      </w:r>
      <w:r w:rsidR="009B4BD7">
        <w:rPr>
          <w:rFonts w:ascii="Times New Roman" w:hAnsi="Times New Roman" w:cs="Times New Roman"/>
          <w:sz w:val="24"/>
          <w:szCs w:val="24"/>
        </w:rPr>
        <w:t xml:space="preserve">(ton and TEU </w:t>
      </w:r>
      <w:r w:rsidR="00BA29FB" w:rsidRPr="001876E6">
        <w:rPr>
          <w:rFonts w:ascii="Times New Roman" w:hAnsi="Times New Roman" w:cs="Times New Roman"/>
          <w:sz w:val="24"/>
          <w:szCs w:val="24"/>
        </w:rPr>
        <w:t>volume</w:t>
      </w:r>
      <w:r w:rsidR="009B4BD7">
        <w:rPr>
          <w:rFonts w:ascii="Times New Roman" w:hAnsi="Times New Roman" w:cs="Times New Roman"/>
          <w:sz w:val="24"/>
          <w:szCs w:val="24"/>
        </w:rPr>
        <w:t>,</w:t>
      </w:r>
      <w:r w:rsidR="00BA29FB" w:rsidRPr="001876E6">
        <w:rPr>
          <w:rFonts w:ascii="Times New Roman" w:hAnsi="Times New Roman" w:cs="Times New Roman"/>
          <w:sz w:val="24"/>
          <w:szCs w:val="24"/>
        </w:rPr>
        <w:t xml:space="preserve"> revenue</w:t>
      </w:r>
      <w:r w:rsidR="009B4BD7">
        <w:rPr>
          <w:rFonts w:ascii="Times New Roman" w:hAnsi="Times New Roman" w:cs="Times New Roman"/>
          <w:sz w:val="24"/>
          <w:szCs w:val="24"/>
        </w:rPr>
        <w:t xml:space="preserve"> by category, recent volume and revenue</w:t>
      </w:r>
      <w:r w:rsidR="00BA29FB" w:rsidRPr="001876E6">
        <w:rPr>
          <w:rFonts w:ascii="Times New Roman" w:hAnsi="Times New Roman" w:cs="Times New Roman"/>
          <w:sz w:val="24"/>
          <w:szCs w:val="24"/>
        </w:rPr>
        <w:t xml:space="preserve"> growth</w:t>
      </w:r>
      <w:r w:rsidR="009B4BD7">
        <w:rPr>
          <w:rFonts w:ascii="Times New Roman" w:hAnsi="Times New Roman" w:cs="Times New Roman"/>
          <w:sz w:val="24"/>
          <w:szCs w:val="24"/>
        </w:rPr>
        <w:t xml:space="preserve"> trend</w:t>
      </w:r>
      <w:r w:rsidR="00BA29FB" w:rsidRPr="001876E6">
        <w:rPr>
          <w:rFonts w:ascii="Times New Roman" w:hAnsi="Times New Roman" w:cs="Times New Roman"/>
          <w:sz w:val="24"/>
          <w:szCs w:val="24"/>
        </w:rPr>
        <w:t>, capacity utilization, modal split, incidence of containerization in their volumes, efficiency ratios like tons per square meter, truck turnaround times, container handling per hour, etc.</w:t>
      </w:r>
      <w:r w:rsidR="009B4BD7">
        <w:rPr>
          <w:rFonts w:ascii="Times New Roman" w:hAnsi="Times New Roman" w:cs="Times New Roman"/>
          <w:sz w:val="24"/>
          <w:szCs w:val="24"/>
        </w:rPr>
        <w:t>)</w:t>
      </w:r>
      <w:r>
        <w:rPr>
          <w:rFonts w:ascii="Times New Roman" w:hAnsi="Times New Roman" w:cs="Times New Roman"/>
          <w:sz w:val="24"/>
          <w:szCs w:val="24"/>
        </w:rPr>
        <w:t>,</w:t>
      </w:r>
      <w:r w:rsidR="009B4BD7">
        <w:rPr>
          <w:rFonts w:ascii="Times New Roman" w:hAnsi="Times New Roman" w:cs="Times New Roman"/>
          <w:sz w:val="24"/>
          <w:szCs w:val="24"/>
        </w:rPr>
        <w:t xml:space="preserve"> and </w:t>
      </w:r>
      <w:r w:rsidR="009B4BD7" w:rsidRPr="001876E6">
        <w:rPr>
          <w:rFonts w:ascii="Times New Roman" w:hAnsi="Times New Roman" w:cs="Times New Roman"/>
          <w:sz w:val="24"/>
          <w:szCs w:val="24"/>
        </w:rPr>
        <w:t>profitability metrics (</w:t>
      </w:r>
      <w:r w:rsidR="009B4BD7">
        <w:rPr>
          <w:rFonts w:ascii="Times New Roman" w:hAnsi="Times New Roman" w:cs="Times New Roman"/>
          <w:sz w:val="24"/>
          <w:szCs w:val="24"/>
        </w:rPr>
        <w:t xml:space="preserve">margins, </w:t>
      </w:r>
      <w:r w:rsidR="009B4BD7" w:rsidRPr="001876E6">
        <w:rPr>
          <w:rFonts w:ascii="Times New Roman" w:hAnsi="Times New Roman" w:cs="Times New Roman"/>
          <w:sz w:val="24"/>
          <w:szCs w:val="24"/>
        </w:rPr>
        <w:t>financial ratios)</w:t>
      </w:r>
      <w:r w:rsidR="009B4BD7">
        <w:rPr>
          <w:rFonts w:ascii="Times New Roman" w:hAnsi="Times New Roman" w:cs="Times New Roman"/>
          <w:sz w:val="24"/>
          <w:szCs w:val="24"/>
        </w:rPr>
        <w:t>, all</w:t>
      </w:r>
      <w:r>
        <w:rPr>
          <w:rFonts w:ascii="Times New Roman" w:hAnsi="Times New Roman" w:cs="Times New Roman"/>
          <w:sz w:val="24"/>
          <w:szCs w:val="24"/>
        </w:rPr>
        <w:t xml:space="preserve"> for 2025 or the most recent year for which data are available.</w:t>
      </w:r>
      <w:r w:rsidR="009978BC" w:rsidRPr="001876E6">
        <w:rPr>
          <w:rFonts w:ascii="Times New Roman" w:hAnsi="Times New Roman" w:cs="Times New Roman"/>
          <w:sz w:val="24"/>
          <w:szCs w:val="24"/>
        </w:rPr>
        <w:t xml:space="preserve"> </w:t>
      </w:r>
      <w:r>
        <w:rPr>
          <w:rFonts w:ascii="Times New Roman" w:hAnsi="Times New Roman" w:cs="Times New Roman"/>
          <w:sz w:val="24"/>
          <w:szCs w:val="24"/>
        </w:rPr>
        <w:t xml:space="preserve"> In addition, the Consultant will assess </w:t>
      </w:r>
      <w:r w:rsidR="009B4BD7">
        <w:rPr>
          <w:rFonts w:ascii="Times New Roman" w:hAnsi="Times New Roman" w:cs="Times New Roman"/>
          <w:sz w:val="24"/>
          <w:szCs w:val="24"/>
        </w:rPr>
        <w:t xml:space="preserve">the </w:t>
      </w:r>
      <w:r>
        <w:rPr>
          <w:rFonts w:ascii="Times New Roman" w:hAnsi="Times New Roman" w:cs="Times New Roman"/>
          <w:sz w:val="24"/>
          <w:szCs w:val="24"/>
        </w:rPr>
        <w:t>performance</w:t>
      </w:r>
      <w:r w:rsidR="009B4BD7">
        <w:rPr>
          <w:rFonts w:ascii="Times New Roman" w:hAnsi="Times New Roman" w:cs="Times New Roman"/>
          <w:sz w:val="24"/>
          <w:szCs w:val="24"/>
        </w:rPr>
        <w:t xml:space="preserve"> of these </w:t>
      </w:r>
      <w:r w:rsidR="00E357E0">
        <w:rPr>
          <w:rFonts w:ascii="Times New Roman" w:hAnsi="Times New Roman" w:cs="Times New Roman"/>
          <w:sz w:val="24"/>
          <w:szCs w:val="24"/>
        </w:rPr>
        <w:t>operational facilities</w:t>
      </w:r>
      <w:r w:rsidR="009B4BD7">
        <w:rPr>
          <w:rFonts w:ascii="Times New Roman" w:hAnsi="Times New Roman" w:cs="Times New Roman"/>
          <w:sz w:val="24"/>
          <w:szCs w:val="24"/>
        </w:rPr>
        <w:t xml:space="preserve"> </w:t>
      </w:r>
      <w:r>
        <w:rPr>
          <w:rFonts w:ascii="Times New Roman" w:hAnsi="Times New Roman" w:cs="Times New Roman"/>
          <w:sz w:val="24"/>
          <w:szCs w:val="24"/>
        </w:rPr>
        <w:t>qualitatively, through semi-structured interviews with at least 1</w:t>
      </w:r>
      <w:r w:rsidR="009B4BD7">
        <w:rPr>
          <w:rFonts w:ascii="Times New Roman" w:hAnsi="Times New Roman" w:cs="Times New Roman"/>
          <w:sz w:val="24"/>
          <w:szCs w:val="24"/>
        </w:rPr>
        <w:t>5</w:t>
      </w:r>
      <w:r>
        <w:rPr>
          <w:rFonts w:ascii="Times New Roman" w:hAnsi="Times New Roman" w:cs="Times New Roman"/>
          <w:sz w:val="24"/>
          <w:szCs w:val="24"/>
        </w:rPr>
        <w:t xml:space="preserve"> active customers of a representative subset of </w:t>
      </w:r>
      <w:r w:rsidR="009B4BD7">
        <w:rPr>
          <w:rFonts w:ascii="Times New Roman" w:hAnsi="Times New Roman" w:cs="Times New Roman"/>
          <w:sz w:val="24"/>
          <w:szCs w:val="24"/>
        </w:rPr>
        <w:t>the centers</w:t>
      </w:r>
      <w:r>
        <w:rPr>
          <w:rFonts w:ascii="Times New Roman" w:hAnsi="Times New Roman" w:cs="Times New Roman"/>
          <w:sz w:val="24"/>
          <w:szCs w:val="24"/>
        </w:rPr>
        <w:t>.</w:t>
      </w:r>
    </w:p>
    <w:p w14:paraId="688CA663" w14:textId="1C62B593" w:rsidR="009978BC" w:rsidRPr="009978BC" w:rsidRDefault="009978BC" w:rsidP="00FF14A4">
      <w:pPr>
        <w:jc w:val="both"/>
        <w:rPr>
          <w:rFonts w:ascii="Times New Roman" w:hAnsi="Times New Roman" w:cs="Times New Roman"/>
          <w:b/>
          <w:bCs/>
          <w:sz w:val="24"/>
          <w:szCs w:val="24"/>
        </w:rPr>
      </w:pPr>
      <w:r w:rsidRPr="009978BC">
        <w:rPr>
          <w:rFonts w:ascii="Times New Roman" w:hAnsi="Times New Roman" w:cs="Times New Roman"/>
          <w:b/>
          <w:bCs/>
          <w:sz w:val="24"/>
          <w:szCs w:val="24"/>
        </w:rPr>
        <w:t>Sub-task 2.2. Benchmarking of TCDD-owned Logistics Centers</w:t>
      </w:r>
    </w:p>
    <w:p w14:paraId="568B6A3D" w14:textId="3B90C99B" w:rsidR="009978BC" w:rsidRDefault="009978BC" w:rsidP="009B4BD7">
      <w:pPr>
        <w:spacing w:after="240"/>
        <w:jc w:val="both"/>
        <w:rPr>
          <w:rFonts w:ascii="Times New Roman" w:hAnsi="Times New Roman" w:cs="Times New Roman"/>
          <w:sz w:val="24"/>
          <w:szCs w:val="24"/>
        </w:rPr>
      </w:pPr>
      <w:r>
        <w:rPr>
          <w:rFonts w:ascii="Times New Roman" w:hAnsi="Times New Roman" w:cs="Times New Roman"/>
          <w:sz w:val="24"/>
          <w:szCs w:val="24"/>
        </w:rPr>
        <w:t xml:space="preserve">Under this </w:t>
      </w:r>
      <w:r w:rsidR="00BA29FB">
        <w:rPr>
          <w:rFonts w:ascii="Times New Roman" w:hAnsi="Times New Roman" w:cs="Times New Roman"/>
          <w:sz w:val="24"/>
          <w:szCs w:val="24"/>
        </w:rPr>
        <w:t>s</w:t>
      </w:r>
      <w:r>
        <w:rPr>
          <w:rFonts w:ascii="Times New Roman" w:hAnsi="Times New Roman" w:cs="Times New Roman"/>
          <w:sz w:val="24"/>
          <w:szCs w:val="24"/>
        </w:rPr>
        <w:t xml:space="preserve">ub-task the Consultant will benchmark </w:t>
      </w:r>
      <w:r w:rsidR="00CB26E5">
        <w:rPr>
          <w:rFonts w:ascii="Times New Roman" w:hAnsi="Times New Roman" w:cs="Times New Roman"/>
          <w:sz w:val="24"/>
          <w:szCs w:val="24"/>
        </w:rPr>
        <w:t xml:space="preserve">the performance of </w:t>
      </w:r>
      <w:r>
        <w:rPr>
          <w:rFonts w:ascii="Times New Roman" w:hAnsi="Times New Roman" w:cs="Times New Roman"/>
          <w:sz w:val="24"/>
          <w:szCs w:val="24"/>
        </w:rPr>
        <w:t xml:space="preserve">operational TCDD-owned logistics centers with (a) </w:t>
      </w:r>
      <w:r w:rsidR="00BA29FB">
        <w:rPr>
          <w:rFonts w:ascii="Times New Roman" w:hAnsi="Times New Roman" w:cs="Times New Roman"/>
          <w:sz w:val="24"/>
          <w:szCs w:val="24"/>
        </w:rPr>
        <w:t>at least one</w:t>
      </w:r>
      <w:r>
        <w:rPr>
          <w:rFonts w:ascii="Times New Roman" w:hAnsi="Times New Roman" w:cs="Times New Roman"/>
          <w:sz w:val="24"/>
          <w:szCs w:val="24"/>
        </w:rPr>
        <w:t xml:space="preserve"> example of privately owned and operated rail-enabled logistics centers in Türkiye, and (b) at least one example </w:t>
      </w:r>
      <w:r w:rsidR="00BA29FB">
        <w:rPr>
          <w:rFonts w:ascii="Times New Roman" w:hAnsi="Times New Roman" w:cs="Times New Roman"/>
          <w:sz w:val="24"/>
          <w:szCs w:val="24"/>
        </w:rPr>
        <w:t xml:space="preserve">each </w:t>
      </w:r>
      <w:r>
        <w:rPr>
          <w:rFonts w:ascii="Times New Roman" w:hAnsi="Times New Roman" w:cs="Times New Roman"/>
          <w:sz w:val="24"/>
          <w:szCs w:val="24"/>
        </w:rPr>
        <w:t>of rail-enabled logistics centers</w:t>
      </w:r>
      <w:r w:rsidR="00BA29FB">
        <w:rPr>
          <w:rFonts w:ascii="Times New Roman" w:hAnsi="Times New Roman" w:cs="Times New Roman"/>
          <w:sz w:val="24"/>
          <w:szCs w:val="24"/>
        </w:rPr>
        <w:t xml:space="preserve"> in a comparable upper middle income country,</w:t>
      </w:r>
      <w:r>
        <w:rPr>
          <w:rFonts w:ascii="Times New Roman" w:hAnsi="Times New Roman" w:cs="Times New Roman"/>
          <w:sz w:val="24"/>
          <w:szCs w:val="24"/>
        </w:rPr>
        <w:t xml:space="preserve"> </w:t>
      </w:r>
      <w:r w:rsidR="00BA29FB">
        <w:rPr>
          <w:rFonts w:ascii="Times New Roman" w:hAnsi="Times New Roman" w:cs="Times New Roman"/>
          <w:sz w:val="24"/>
          <w:szCs w:val="24"/>
        </w:rPr>
        <w:t>and an aspirational count</w:t>
      </w:r>
      <w:r w:rsidR="000B7D29">
        <w:rPr>
          <w:rFonts w:ascii="Times New Roman" w:hAnsi="Times New Roman" w:cs="Times New Roman"/>
          <w:sz w:val="24"/>
          <w:szCs w:val="24"/>
        </w:rPr>
        <w:t>r</w:t>
      </w:r>
      <w:r w:rsidR="00BA29FB">
        <w:rPr>
          <w:rFonts w:ascii="Times New Roman" w:hAnsi="Times New Roman" w:cs="Times New Roman"/>
          <w:sz w:val="24"/>
          <w:szCs w:val="24"/>
        </w:rPr>
        <w:t>y benchmark</w:t>
      </w:r>
      <w:r w:rsidR="008F207F">
        <w:rPr>
          <w:rFonts w:ascii="Times New Roman" w:hAnsi="Times New Roman" w:cs="Times New Roman"/>
          <w:sz w:val="24"/>
          <w:szCs w:val="24"/>
        </w:rPr>
        <w:t>; the benchmarking sample for Task 2 will be suggested by the Consultant and agreed with AYGM, subject to comments by the World Bank</w:t>
      </w:r>
      <w:r>
        <w:rPr>
          <w:rFonts w:ascii="Times New Roman" w:hAnsi="Times New Roman" w:cs="Times New Roman"/>
          <w:sz w:val="24"/>
          <w:szCs w:val="24"/>
        </w:rPr>
        <w:t xml:space="preserve">. The benchmarking exercise will be quantitative in nature and include </w:t>
      </w:r>
      <w:r w:rsidR="00BA29FB">
        <w:rPr>
          <w:rFonts w:ascii="Times New Roman" w:hAnsi="Times New Roman" w:cs="Times New Roman"/>
          <w:sz w:val="24"/>
          <w:szCs w:val="24"/>
        </w:rPr>
        <w:t>all or at least a significant portion of t</w:t>
      </w:r>
      <w:r w:rsidR="00CB26E5">
        <w:rPr>
          <w:rFonts w:ascii="Times New Roman" w:hAnsi="Times New Roman" w:cs="Times New Roman"/>
          <w:sz w:val="24"/>
          <w:szCs w:val="24"/>
        </w:rPr>
        <w:t xml:space="preserve">he quantitative performance indicators </w:t>
      </w:r>
      <w:r>
        <w:rPr>
          <w:rFonts w:ascii="Times New Roman" w:hAnsi="Times New Roman" w:cs="Times New Roman"/>
          <w:sz w:val="24"/>
          <w:szCs w:val="24"/>
        </w:rPr>
        <w:t xml:space="preserve">developed under </w:t>
      </w:r>
      <w:r w:rsidR="00E551E1">
        <w:rPr>
          <w:rFonts w:ascii="Times New Roman" w:hAnsi="Times New Roman" w:cs="Times New Roman"/>
          <w:sz w:val="24"/>
          <w:szCs w:val="24"/>
        </w:rPr>
        <w:t xml:space="preserve">part 3 of </w:t>
      </w:r>
      <w:r>
        <w:rPr>
          <w:rFonts w:ascii="Times New Roman" w:hAnsi="Times New Roman" w:cs="Times New Roman"/>
          <w:sz w:val="24"/>
          <w:szCs w:val="24"/>
        </w:rPr>
        <w:t>Sub-task 2.1.</w:t>
      </w:r>
    </w:p>
    <w:p w14:paraId="1F907280" w14:textId="76E6640F" w:rsidR="009978BC" w:rsidRDefault="009978BC" w:rsidP="00FF14A4">
      <w:pPr>
        <w:jc w:val="both"/>
        <w:rPr>
          <w:rFonts w:ascii="Times New Roman" w:hAnsi="Times New Roman" w:cs="Times New Roman"/>
          <w:b/>
          <w:bCs/>
          <w:sz w:val="24"/>
          <w:szCs w:val="24"/>
        </w:rPr>
      </w:pPr>
      <w:r w:rsidRPr="009978BC">
        <w:rPr>
          <w:rFonts w:ascii="Times New Roman" w:hAnsi="Times New Roman" w:cs="Times New Roman"/>
          <w:b/>
          <w:bCs/>
          <w:sz w:val="24"/>
          <w:szCs w:val="24"/>
        </w:rPr>
        <w:t>Sub-task 2.</w:t>
      </w:r>
      <w:r>
        <w:rPr>
          <w:rFonts w:ascii="Times New Roman" w:hAnsi="Times New Roman" w:cs="Times New Roman"/>
          <w:b/>
          <w:bCs/>
          <w:sz w:val="24"/>
          <w:szCs w:val="24"/>
        </w:rPr>
        <w:t>3</w:t>
      </w:r>
      <w:r w:rsidRPr="009978BC">
        <w:rPr>
          <w:rFonts w:ascii="Times New Roman" w:hAnsi="Times New Roman" w:cs="Times New Roman"/>
          <w:b/>
          <w:bCs/>
          <w:sz w:val="24"/>
          <w:szCs w:val="24"/>
        </w:rPr>
        <w:t xml:space="preserve">. </w:t>
      </w:r>
      <w:r w:rsidR="00153A6E">
        <w:rPr>
          <w:rFonts w:ascii="Times New Roman" w:hAnsi="Times New Roman" w:cs="Times New Roman"/>
          <w:b/>
          <w:bCs/>
          <w:sz w:val="24"/>
          <w:szCs w:val="24"/>
        </w:rPr>
        <w:t xml:space="preserve">National and </w:t>
      </w:r>
      <w:r w:rsidRPr="009978BC">
        <w:rPr>
          <w:rFonts w:ascii="Times New Roman" w:hAnsi="Times New Roman" w:cs="Times New Roman"/>
          <w:b/>
          <w:bCs/>
          <w:sz w:val="24"/>
          <w:szCs w:val="24"/>
        </w:rPr>
        <w:t>International Best Practices and Lessons Learne</w:t>
      </w:r>
      <w:r>
        <w:rPr>
          <w:rFonts w:ascii="Times New Roman" w:hAnsi="Times New Roman" w:cs="Times New Roman"/>
          <w:b/>
          <w:bCs/>
          <w:sz w:val="24"/>
          <w:szCs w:val="24"/>
        </w:rPr>
        <w:t>d</w:t>
      </w:r>
    </w:p>
    <w:p w14:paraId="089556AC" w14:textId="18D4794C" w:rsidR="009978BC" w:rsidRDefault="009978BC" w:rsidP="009B4BD7">
      <w:pPr>
        <w:spacing w:after="240"/>
        <w:jc w:val="both"/>
        <w:rPr>
          <w:rFonts w:ascii="Times New Roman" w:hAnsi="Times New Roman" w:cs="Times New Roman"/>
          <w:sz w:val="24"/>
          <w:szCs w:val="24"/>
        </w:rPr>
      </w:pPr>
      <w:r>
        <w:rPr>
          <w:rFonts w:ascii="Times New Roman" w:hAnsi="Times New Roman" w:cs="Times New Roman"/>
          <w:sz w:val="24"/>
          <w:szCs w:val="24"/>
        </w:rPr>
        <w:t xml:space="preserve">Under this </w:t>
      </w:r>
      <w:r w:rsidR="00BA29FB">
        <w:rPr>
          <w:rFonts w:ascii="Times New Roman" w:hAnsi="Times New Roman" w:cs="Times New Roman"/>
          <w:sz w:val="24"/>
          <w:szCs w:val="24"/>
        </w:rPr>
        <w:t>sub-</w:t>
      </w:r>
      <w:r>
        <w:rPr>
          <w:rFonts w:ascii="Times New Roman" w:hAnsi="Times New Roman" w:cs="Times New Roman"/>
          <w:sz w:val="24"/>
          <w:szCs w:val="24"/>
        </w:rPr>
        <w:t xml:space="preserve">task the Consultant will develop a comprehensive account of best practices in the development and management of rail-enabled logistics centers in the </w:t>
      </w:r>
      <w:r w:rsidR="00BA29FB">
        <w:rPr>
          <w:rFonts w:ascii="Times New Roman" w:hAnsi="Times New Roman" w:cs="Times New Roman"/>
          <w:sz w:val="24"/>
          <w:szCs w:val="24"/>
        </w:rPr>
        <w:t xml:space="preserve">two </w:t>
      </w:r>
      <w:r>
        <w:rPr>
          <w:rFonts w:ascii="Times New Roman" w:hAnsi="Times New Roman" w:cs="Times New Roman"/>
          <w:sz w:val="24"/>
          <w:szCs w:val="24"/>
        </w:rPr>
        <w:t>benchmarking countries</w:t>
      </w:r>
      <w:r w:rsidR="00BA29FB">
        <w:rPr>
          <w:rFonts w:ascii="Times New Roman" w:hAnsi="Times New Roman" w:cs="Times New Roman"/>
          <w:sz w:val="24"/>
          <w:szCs w:val="24"/>
        </w:rPr>
        <w:t xml:space="preserve"> </w:t>
      </w:r>
      <w:r w:rsidR="00BA29FB">
        <w:rPr>
          <w:rFonts w:ascii="Times New Roman" w:hAnsi="Times New Roman" w:cs="Times New Roman"/>
          <w:sz w:val="24"/>
          <w:szCs w:val="24"/>
        </w:rPr>
        <w:lastRenderedPageBreak/>
        <w:t>used under Sub-task 2.2</w:t>
      </w:r>
      <w:r>
        <w:rPr>
          <w:rFonts w:ascii="Times New Roman" w:hAnsi="Times New Roman" w:cs="Times New Roman"/>
          <w:sz w:val="24"/>
          <w:szCs w:val="24"/>
        </w:rPr>
        <w:t xml:space="preserve">, with an emphasis on their </w:t>
      </w:r>
      <w:r w:rsidR="00BA29FB">
        <w:rPr>
          <w:rFonts w:ascii="Times New Roman" w:hAnsi="Times New Roman" w:cs="Times New Roman"/>
          <w:sz w:val="24"/>
          <w:szCs w:val="24"/>
        </w:rPr>
        <w:t xml:space="preserve">planning, </w:t>
      </w:r>
      <w:r>
        <w:rPr>
          <w:rFonts w:ascii="Times New Roman" w:hAnsi="Times New Roman" w:cs="Times New Roman"/>
          <w:sz w:val="24"/>
          <w:szCs w:val="24"/>
        </w:rPr>
        <w:t>management, operational, and funding/financing models</w:t>
      </w:r>
      <w:r w:rsidR="00BA29FB">
        <w:rPr>
          <w:rFonts w:ascii="Times New Roman" w:hAnsi="Times New Roman" w:cs="Times New Roman"/>
          <w:sz w:val="24"/>
          <w:szCs w:val="24"/>
        </w:rPr>
        <w:t>. This sub-task will also develop</w:t>
      </w:r>
      <w:r>
        <w:rPr>
          <w:rFonts w:ascii="Times New Roman" w:hAnsi="Times New Roman" w:cs="Times New Roman"/>
          <w:sz w:val="24"/>
          <w:szCs w:val="24"/>
        </w:rPr>
        <w:t xml:space="preserve"> an account of </w:t>
      </w:r>
      <w:r w:rsidR="00BA29FB">
        <w:rPr>
          <w:rFonts w:ascii="Times New Roman" w:hAnsi="Times New Roman" w:cs="Times New Roman"/>
          <w:sz w:val="24"/>
          <w:szCs w:val="24"/>
        </w:rPr>
        <w:t xml:space="preserve">key </w:t>
      </w:r>
      <w:r>
        <w:rPr>
          <w:rFonts w:ascii="Times New Roman" w:hAnsi="Times New Roman" w:cs="Times New Roman"/>
          <w:sz w:val="24"/>
          <w:szCs w:val="24"/>
        </w:rPr>
        <w:t xml:space="preserve">lessons learned from </w:t>
      </w:r>
      <w:r w:rsidR="00153A6E">
        <w:rPr>
          <w:rFonts w:ascii="Times New Roman" w:hAnsi="Times New Roman" w:cs="Times New Roman"/>
          <w:sz w:val="24"/>
          <w:szCs w:val="24"/>
        </w:rPr>
        <w:t xml:space="preserve">Türkiye’s own experience with </w:t>
      </w:r>
      <w:r>
        <w:rPr>
          <w:rFonts w:ascii="Times New Roman" w:hAnsi="Times New Roman" w:cs="Times New Roman"/>
          <w:sz w:val="24"/>
          <w:szCs w:val="24"/>
        </w:rPr>
        <w:t>th</w:t>
      </w:r>
      <w:r w:rsidR="00BA29FB">
        <w:rPr>
          <w:rFonts w:ascii="Times New Roman" w:hAnsi="Times New Roman" w:cs="Times New Roman"/>
          <w:sz w:val="24"/>
          <w:szCs w:val="24"/>
        </w:rPr>
        <w:t xml:space="preserve">e </w:t>
      </w:r>
      <w:r w:rsidR="00153A6E">
        <w:rPr>
          <w:rFonts w:ascii="Times New Roman" w:hAnsi="Times New Roman" w:cs="Times New Roman"/>
          <w:sz w:val="24"/>
          <w:szCs w:val="24"/>
        </w:rPr>
        <w:t xml:space="preserve">planning and development of rail-enabled </w:t>
      </w:r>
      <w:r w:rsidR="00BA29FB">
        <w:rPr>
          <w:rFonts w:ascii="Times New Roman" w:hAnsi="Times New Roman" w:cs="Times New Roman"/>
          <w:sz w:val="24"/>
          <w:szCs w:val="24"/>
        </w:rPr>
        <w:t>logistics center</w:t>
      </w:r>
      <w:r w:rsidR="00153A6E">
        <w:rPr>
          <w:rFonts w:ascii="Times New Roman" w:hAnsi="Times New Roman" w:cs="Times New Roman"/>
          <w:sz w:val="24"/>
          <w:szCs w:val="24"/>
        </w:rPr>
        <w:t>s, particularly private-invested facilities.</w:t>
      </w:r>
      <w:r>
        <w:rPr>
          <w:rFonts w:ascii="Times New Roman" w:hAnsi="Times New Roman" w:cs="Times New Roman"/>
          <w:sz w:val="24"/>
          <w:szCs w:val="24"/>
        </w:rPr>
        <w:t xml:space="preserve"> </w:t>
      </w:r>
    </w:p>
    <w:p w14:paraId="3FC44AD1" w14:textId="77777777" w:rsidR="00E551E1" w:rsidRDefault="00E551E1" w:rsidP="00E551E1">
      <w:pPr>
        <w:spacing w:after="240"/>
        <w:jc w:val="both"/>
        <w:rPr>
          <w:rFonts w:ascii="Times New Roman" w:hAnsi="Times New Roman" w:cs="Times New Roman"/>
          <w:sz w:val="24"/>
          <w:szCs w:val="24"/>
        </w:rPr>
      </w:pPr>
      <w:r>
        <w:rPr>
          <w:rFonts w:ascii="Times New Roman" w:hAnsi="Times New Roman" w:cs="Times New Roman"/>
          <w:sz w:val="24"/>
          <w:szCs w:val="24"/>
        </w:rPr>
        <w:t>At a minimum, the Consultant will be expected to:</w:t>
      </w:r>
    </w:p>
    <w:p w14:paraId="3C0AEC99" w14:textId="0C491A52" w:rsidR="00B87BE5" w:rsidRDefault="00E551E1" w:rsidP="00B87BE5">
      <w:pPr>
        <w:pStyle w:val="ListeParagraf"/>
        <w:numPr>
          <w:ilvl w:val="0"/>
          <w:numId w:val="8"/>
        </w:numPr>
        <w:spacing w:after="120"/>
        <w:ind w:left="360"/>
        <w:contextualSpacing w:val="0"/>
        <w:jc w:val="both"/>
        <w:rPr>
          <w:rFonts w:ascii="Times New Roman" w:hAnsi="Times New Roman" w:cs="Times New Roman"/>
          <w:sz w:val="24"/>
          <w:szCs w:val="24"/>
        </w:rPr>
      </w:pPr>
      <w:r w:rsidRPr="00E551E1">
        <w:rPr>
          <w:rFonts w:ascii="Times New Roman" w:hAnsi="Times New Roman" w:cs="Times New Roman"/>
          <w:sz w:val="24"/>
          <w:szCs w:val="24"/>
        </w:rPr>
        <w:t xml:space="preserve">Analyze how these centers address common challenges such as capacity constraints, integration of multimodal transport, and </w:t>
      </w:r>
      <w:r w:rsidR="00E357E0" w:rsidRPr="00E551E1">
        <w:rPr>
          <w:rFonts w:ascii="Times New Roman" w:hAnsi="Times New Roman" w:cs="Times New Roman"/>
          <w:sz w:val="24"/>
          <w:szCs w:val="24"/>
        </w:rPr>
        <w:t>sustainability</w:t>
      </w:r>
      <w:r w:rsidR="00E357E0">
        <w:rPr>
          <w:rFonts w:ascii="Times New Roman" w:hAnsi="Times New Roman" w:cs="Times New Roman"/>
          <w:sz w:val="24"/>
          <w:szCs w:val="24"/>
        </w:rPr>
        <w:t>.</w:t>
      </w:r>
    </w:p>
    <w:p w14:paraId="74C8CF27" w14:textId="5F931611" w:rsidR="00B87BE5" w:rsidRDefault="00E551E1" w:rsidP="00B87BE5">
      <w:pPr>
        <w:pStyle w:val="ListeParagraf"/>
        <w:numPr>
          <w:ilvl w:val="0"/>
          <w:numId w:val="8"/>
        </w:numPr>
        <w:spacing w:after="120"/>
        <w:ind w:left="360"/>
        <w:contextualSpacing w:val="0"/>
        <w:jc w:val="both"/>
        <w:rPr>
          <w:rFonts w:ascii="Times New Roman" w:hAnsi="Times New Roman" w:cs="Times New Roman"/>
          <w:sz w:val="24"/>
          <w:szCs w:val="24"/>
        </w:rPr>
      </w:pPr>
      <w:r w:rsidRPr="00B87BE5">
        <w:rPr>
          <w:rFonts w:ascii="Times New Roman" w:hAnsi="Times New Roman" w:cs="Times New Roman"/>
          <w:sz w:val="24"/>
          <w:szCs w:val="24"/>
        </w:rPr>
        <w:t xml:space="preserve">Analyze </w:t>
      </w:r>
      <w:r w:rsidR="00B87BE5">
        <w:rPr>
          <w:rFonts w:ascii="Times New Roman" w:hAnsi="Times New Roman" w:cs="Times New Roman"/>
          <w:sz w:val="24"/>
          <w:szCs w:val="24"/>
        </w:rPr>
        <w:t xml:space="preserve">the data </w:t>
      </w:r>
      <w:r w:rsidRPr="00B87BE5">
        <w:rPr>
          <w:rFonts w:ascii="Times New Roman" w:hAnsi="Times New Roman" w:cs="Times New Roman"/>
          <w:sz w:val="24"/>
          <w:szCs w:val="24"/>
        </w:rPr>
        <w:t xml:space="preserve">collected </w:t>
      </w:r>
      <w:r w:rsidR="00B87BE5">
        <w:rPr>
          <w:rFonts w:ascii="Times New Roman" w:hAnsi="Times New Roman" w:cs="Times New Roman"/>
          <w:sz w:val="24"/>
          <w:szCs w:val="24"/>
        </w:rPr>
        <w:t>under Sub-task 2.2</w:t>
      </w:r>
      <w:r w:rsidRPr="00B87BE5">
        <w:rPr>
          <w:rFonts w:ascii="Times New Roman" w:hAnsi="Times New Roman" w:cs="Times New Roman"/>
          <w:sz w:val="24"/>
          <w:szCs w:val="24"/>
        </w:rPr>
        <w:t xml:space="preserve"> to identify strengths and weaknesses in </w:t>
      </w:r>
      <w:r w:rsidR="00B87BE5">
        <w:rPr>
          <w:rFonts w:ascii="Times New Roman" w:hAnsi="Times New Roman" w:cs="Times New Roman"/>
          <w:sz w:val="24"/>
          <w:szCs w:val="24"/>
        </w:rPr>
        <w:t>TCDD-owned</w:t>
      </w:r>
      <w:r w:rsidRPr="00B87BE5">
        <w:rPr>
          <w:rFonts w:ascii="Times New Roman" w:hAnsi="Times New Roman" w:cs="Times New Roman"/>
          <w:sz w:val="24"/>
          <w:szCs w:val="24"/>
        </w:rPr>
        <w:t xml:space="preserve"> logistics </w:t>
      </w:r>
      <w:r w:rsidR="00B87BE5">
        <w:rPr>
          <w:rFonts w:ascii="Times New Roman" w:hAnsi="Times New Roman" w:cs="Times New Roman"/>
          <w:sz w:val="24"/>
          <w:szCs w:val="24"/>
        </w:rPr>
        <w:t>centers</w:t>
      </w:r>
      <w:r w:rsidRPr="00B87BE5">
        <w:rPr>
          <w:rFonts w:ascii="Times New Roman" w:hAnsi="Times New Roman" w:cs="Times New Roman"/>
          <w:sz w:val="24"/>
          <w:szCs w:val="24"/>
        </w:rPr>
        <w:t xml:space="preserve"> compared to international benchmarks</w:t>
      </w:r>
      <w:r w:rsidR="00B87BE5">
        <w:rPr>
          <w:rFonts w:ascii="Times New Roman" w:hAnsi="Times New Roman" w:cs="Times New Roman"/>
          <w:sz w:val="24"/>
          <w:szCs w:val="24"/>
        </w:rPr>
        <w:t>; and</w:t>
      </w:r>
    </w:p>
    <w:p w14:paraId="76680E9A" w14:textId="069D8D6D" w:rsidR="00E551E1" w:rsidRPr="00B87BE5" w:rsidRDefault="00E551E1" w:rsidP="00B87BE5">
      <w:pPr>
        <w:pStyle w:val="ListeParagraf"/>
        <w:numPr>
          <w:ilvl w:val="0"/>
          <w:numId w:val="8"/>
        </w:numPr>
        <w:spacing w:after="360"/>
        <w:ind w:left="360"/>
        <w:contextualSpacing w:val="0"/>
        <w:jc w:val="both"/>
        <w:rPr>
          <w:rFonts w:ascii="Times New Roman" w:hAnsi="Times New Roman" w:cs="Times New Roman"/>
          <w:sz w:val="24"/>
          <w:szCs w:val="24"/>
        </w:rPr>
      </w:pPr>
      <w:r w:rsidRPr="00B87BE5">
        <w:rPr>
          <w:rFonts w:ascii="Times New Roman" w:hAnsi="Times New Roman" w:cs="Times New Roman"/>
          <w:sz w:val="24"/>
          <w:szCs w:val="24"/>
        </w:rPr>
        <w:t>Create a comparative analysis of best practices against current practices</w:t>
      </w:r>
      <w:r w:rsidR="00B87BE5">
        <w:rPr>
          <w:rFonts w:ascii="Times New Roman" w:hAnsi="Times New Roman" w:cs="Times New Roman"/>
          <w:sz w:val="24"/>
          <w:szCs w:val="24"/>
        </w:rPr>
        <w:t xml:space="preserve"> at TCDD-owned logistics centers</w:t>
      </w:r>
      <w:r w:rsidRPr="00B87BE5">
        <w:rPr>
          <w:rFonts w:ascii="Times New Roman" w:hAnsi="Times New Roman" w:cs="Times New Roman"/>
          <w:sz w:val="24"/>
          <w:szCs w:val="24"/>
        </w:rPr>
        <w:t>, emphasizing areas for improvement</w:t>
      </w:r>
      <w:r w:rsidR="00B87BE5">
        <w:rPr>
          <w:rFonts w:ascii="Times New Roman" w:hAnsi="Times New Roman" w:cs="Times New Roman"/>
          <w:sz w:val="24"/>
          <w:szCs w:val="24"/>
        </w:rPr>
        <w:t>.</w:t>
      </w:r>
    </w:p>
    <w:p w14:paraId="78AF6E0E" w14:textId="73B2F56B" w:rsidR="009B4BD7" w:rsidRPr="009B4BD7" w:rsidRDefault="009B4BD7" w:rsidP="009B4BD7">
      <w:pPr>
        <w:spacing w:after="240"/>
        <w:jc w:val="both"/>
        <w:rPr>
          <w:rFonts w:ascii="Times New Roman" w:hAnsi="Times New Roman" w:cs="Times New Roman"/>
          <w:b/>
          <w:bCs/>
          <w:sz w:val="24"/>
          <w:szCs w:val="24"/>
        </w:rPr>
      </w:pPr>
      <w:r w:rsidRPr="009B4BD7">
        <w:rPr>
          <w:rFonts w:ascii="Times New Roman" w:hAnsi="Times New Roman" w:cs="Times New Roman"/>
          <w:b/>
          <w:bCs/>
          <w:sz w:val="24"/>
          <w:szCs w:val="24"/>
        </w:rPr>
        <w:t>Sub-task 2.4. Operati</w:t>
      </w:r>
      <w:r w:rsidR="00DB3737">
        <w:rPr>
          <w:rFonts w:ascii="Times New Roman" w:hAnsi="Times New Roman" w:cs="Times New Roman"/>
          <w:b/>
          <w:bCs/>
          <w:sz w:val="24"/>
          <w:szCs w:val="24"/>
        </w:rPr>
        <w:t>onal</w:t>
      </w:r>
      <w:r w:rsidRPr="009B4BD7">
        <w:rPr>
          <w:rFonts w:ascii="Times New Roman" w:hAnsi="Times New Roman" w:cs="Times New Roman"/>
          <w:b/>
          <w:bCs/>
          <w:sz w:val="24"/>
          <w:szCs w:val="24"/>
        </w:rPr>
        <w:t xml:space="preserve"> and Financial Model of TCDD-owned Logistics Centers</w:t>
      </w:r>
    </w:p>
    <w:p w14:paraId="7BD11857" w14:textId="2E305FC7" w:rsidR="009B4BD7" w:rsidRDefault="009B4BD7" w:rsidP="009B4BD7">
      <w:pPr>
        <w:spacing w:after="240"/>
        <w:jc w:val="both"/>
        <w:rPr>
          <w:rFonts w:ascii="Times New Roman" w:hAnsi="Times New Roman" w:cs="Times New Roman"/>
          <w:sz w:val="24"/>
          <w:szCs w:val="24"/>
        </w:rPr>
      </w:pPr>
      <w:r>
        <w:rPr>
          <w:rFonts w:ascii="Times New Roman" w:hAnsi="Times New Roman" w:cs="Times New Roman"/>
          <w:sz w:val="24"/>
          <w:szCs w:val="24"/>
        </w:rPr>
        <w:t>Under this sub-task, the Consultant will develop a spreadsheet-based operat</w:t>
      </w:r>
      <w:r w:rsidR="00DB3737">
        <w:rPr>
          <w:rFonts w:ascii="Times New Roman" w:hAnsi="Times New Roman" w:cs="Times New Roman"/>
          <w:sz w:val="24"/>
          <w:szCs w:val="24"/>
        </w:rPr>
        <w:t>ional</w:t>
      </w:r>
      <w:r>
        <w:rPr>
          <w:rFonts w:ascii="Times New Roman" w:hAnsi="Times New Roman" w:cs="Times New Roman"/>
          <w:sz w:val="24"/>
          <w:szCs w:val="24"/>
        </w:rPr>
        <w:t xml:space="preserve"> and financial model of all </w:t>
      </w:r>
      <w:r w:rsidR="00EA0819">
        <w:rPr>
          <w:rFonts w:ascii="Times New Roman" w:hAnsi="Times New Roman" w:cs="Times New Roman"/>
          <w:sz w:val="24"/>
          <w:szCs w:val="24"/>
        </w:rPr>
        <w:t xml:space="preserve">active </w:t>
      </w:r>
      <w:r>
        <w:rPr>
          <w:rFonts w:ascii="Times New Roman" w:hAnsi="Times New Roman" w:cs="Times New Roman"/>
          <w:sz w:val="24"/>
          <w:szCs w:val="24"/>
        </w:rPr>
        <w:t xml:space="preserve">TCDD-owned logistics centers, to estimate their likely financial and operational </w:t>
      </w:r>
      <w:r w:rsidR="00DB3737">
        <w:rPr>
          <w:rFonts w:ascii="Times New Roman" w:hAnsi="Times New Roman" w:cs="Times New Roman"/>
          <w:sz w:val="24"/>
          <w:szCs w:val="24"/>
        </w:rPr>
        <w:t>performance</w:t>
      </w:r>
      <w:r>
        <w:rPr>
          <w:rFonts w:ascii="Times New Roman" w:hAnsi="Times New Roman" w:cs="Times New Roman"/>
          <w:sz w:val="24"/>
          <w:szCs w:val="24"/>
        </w:rPr>
        <w:t xml:space="preserve"> over the period 2025-2053. This model should be informed by supply and demand inputs from the freight flow model developed under Sub-task 1.4, and it should be interactive</w:t>
      </w:r>
      <w:r w:rsidR="008F207F">
        <w:rPr>
          <w:rFonts w:ascii="Times New Roman" w:hAnsi="Times New Roman" w:cs="Times New Roman"/>
          <w:sz w:val="24"/>
          <w:szCs w:val="24"/>
        </w:rPr>
        <w:t xml:space="preserve"> and </w:t>
      </w:r>
      <w:r>
        <w:rPr>
          <w:rFonts w:ascii="Times New Roman" w:hAnsi="Times New Roman" w:cs="Times New Roman"/>
          <w:sz w:val="24"/>
          <w:szCs w:val="24"/>
        </w:rPr>
        <w:t>“what if”-enabled.</w:t>
      </w:r>
      <w:r w:rsidR="00DB3737">
        <w:rPr>
          <w:rFonts w:ascii="Times New Roman" w:hAnsi="Times New Roman" w:cs="Times New Roman"/>
          <w:sz w:val="24"/>
          <w:szCs w:val="24"/>
        </w:rPr>
        <w:t xml:space="preserve"> The model should develop at least 3 scenarios to be compared to a ‘business-as-usual’ baseline, with the conceptualization of the scenarios subject to comment and approval by AYGM, and to comments from the World Bank. The Consultant will explain in writing the output of the operational and financial model and its methodology/assumptions. </w:t>
      </w:r>
      <w:r w:rsidR="0095514B">
        <w:rPr>
          <w:rFonts w:ascii="Times New Roman" w:hAnsi="Times New Roman" w:cs="Times New Roman"/>
          <w:sz w:val="24"/>
          <w:szCs w:val="24"/>
        </w:rPr>
        <w:t xml:space="preserve">The model should be reasonably self-explanatory and entirely </w:t>
      </w:r>
      <w:r w:rsidR="00E357E0">
        <w:rPr>
          <w:rFonts w:ascii="Times New Roman" w:hAnsi="Times New Roman" w:cs="Times New Roman"/>
          <w:sz w:val="24"/>
          <w:szCs w:val="24"/>
        </w:rPr>
        <w:t>self-contained and</w:t>
      </w:r>
      <w:r w:rsidR="00DB3737">
        <w:rPr>
          <w:rFonts w:ascii="Times New Roman" w:hAnsi="Times New Roman" w:cs="Times New Roman"/>
          <w:sz w:val="24"/>
          <w:szCs w:val="24"/>
        </w:rPr>
        <w:t xml:space="preserve"> will</w:t>
      </w:r>
      <w:r w:rsidR="0095514B">
        <w:rPr>
          <w:rFonts w:ascii="Times New Roman" w:hAnsi="Times New Roman" w:cs="Times New Roman"/>
          <w:sz w:val="24"/>
          <w:szCs w:val="24"/>
        </w:rPr>
        <w:t xml:space="preserve"> be</w:t>
      </w:r>
      <w:r w:rsidR="00DB3737">
        <w:rPr>
          <w:rFonts w:ascii="Times New Roman" w:hAnsi="Times New Roman" w:cs="Times New Roman"/>
          <w:sz w:val="24"/>
          <w:szCs w:val="24"/>
        </w:rPr>
        <w:t xml:space="preserve"> deliver</w:t>
      </w:r>
      <w:r w:rsidR="0095514B">
        <w:rPr>
          <w:rFonts w:ascii="Times New Roman" w:hAnsi="Times New Roman" w:cs="Times New Roman"/>
          <w:sz w:val="24"/>
          <w:szCs w:val="24"/>
        </w:rPr>
        <w:t>ed</w:t>
      </w:r>
      <w:r w:rsidR="00DB3737">
        <w:rPr>
          <w:rFonts w:ascii="Times New Roman" w:hAnsi="Times New Roman" w:cs="Times New Roman"/>
          <w:sz w:val="24"/>
          <w:szCs w:val="24"/>
        </w:rPr>
        <w:t xml:space="preserve"> </w:t>
      </w:r>
      <w:r w:rsidR="0095514B">
        <w:rPr>
          <w:rFonts w:ascii="Times New Roman" w:hAnsi="Times New Roman" w:cs="Times New Roman"/>
          <w:sz w:val="24"/>
          <w:szCs w:val="24"/>
        </w:rPr>
        <w:t xml:space="preserve">in its entirety </w:t>
      </w:r>
      <w:r w:rsidR="00DB3737">
        <w:rPr>
          <w:rFonts w:ascii="Times New Roman" w:hAnsi="Times New Roman" w:cs="Times New Roman"/>
          <w:sz w:val="24"/>
          <w:szCs w:val="24"/>
        </w:rPr>
        <w:t>as an MS Excel file</w:t>
      </w:r>
      <w:r w:rsidR="0095514B">
        <w:rPr>
          <w:rFonts w:ascii="Times New Roman" w:hAnsi="Times New Roman" w:cs="Times New Roman"/>
          <w:sz w:val="24"/>
          <w:szCs w:val="24"/>
        </w:rPr>
        <w:t>. In addition, the Consultant</w:t>
      </w:r>
      <w:r w:rsidR="00DB3737">
        <w:rPr>
          <w:rFonts w:ascii="Times New Roman" w:hAnsi="Times New Roman" w:cs="Times New Roman"/>
          <w:sz w:val="24"/>
          <w:szCs w:val="24"/>
        </w:rPr>
        <w:t xml:space="preserve"> will be expected to train a small number of select AYGM </w:t>
      </w:r>
      <w:r w:rsidR="00EA0819">
        <w:rPr>
          <w:rFonts w:ascii="Times New Roman" w:hAnsi="Times New Roman" w:cs="Times New Roman"/>
          <w:sz w:val="24"/>
          <w:szCs w:val="24"/>
        </w:rPr>
        <w:t xml:space="preserve">and TCDD </w:t>
      </w:r>
      <w:r w:rsidR="00DB3737">
        <w:rPr>
          <w:rFonts w:ascii="Times New Roman" w:hAnsi="Times New Roman" w:cs="Times New Roman"/>
          <w:sz w:val="24"/>
          <w:szCs w:val="24"/>
        </w:rPr>
        <w:t>staff on the model structure and inner workings, so that they may be able to use it for similar purposes in future.</w:t>
      </w:r>
    </w:p>
    <w:p w14:paraId="302B4767" w14:textId="4F9E451F" w:rsidR="009978BC" w:rsidRDefault="009978BC" w:rsidP="00FF14A4">
      <w:pPr>
        <w:jc w:val="both"/>
        <w:rPr>
          <w:rFonts w:ascii="Times New Roman" w:hAnsi="Times New Roman" w:cs="Times New Roman"/>
          <w:b/>
          <w:bCs/>
          <w:sz w:val="24"/>
          <w:szCs w:val="24"/>
        </w:rPr>
      </w:pPr>
      <w:r w:rsidRPr="009978BC">
        <w:rPr>
          <w:rFonts w:ascii="Times New Roman" w:hAnsi="Times New Roman" w:cs="Times New Roman"/>
          <w:b/>
          <w:bCs/>
          <w:sz w:val="24"/>
          <w:szCs w:val="24"/>
        </w:rPr>
        <w:t>Sub-task 2.</w:t>
      </w:r>
      <w:r w:rsidR="00DB3737">
        <w:rPr>
          <w:rFonts w:ascii="Times New Roman" w:hAnsi="Times New Roman" w:cs="Times New Roman"/>
          <w:b/>
          <w:bCs/>
          <w:sz w:val="24"/>
          <w:szCs w:val="24"/>
        </w:rPr>
        <w:t>5</w:t>
      </w:r>
      <w:r w:rsidRPr="009978BC">
        <w:rPr>
          <w:rFonts w:ascii="Times New Roman" w:hAnsi="Times New Roman" w:cs="Times New Roman"/>
          <w:b/>
          <w:bCs/>
          <w:sz w:val="24"/>
          <w:szCs w:val="24"/>
        </w:rPr>
        <w:t>. Strategic Recommendations</w:t>
      </w:r>
      <w:r>
        <w:rPr>
          <w:rFonts w:ascii="Times New Roman" w:hAnsi="Times New Roman" w:cs="Times New Roman"/>
          <w:b/>
          <w:bCs/>
          <w:sz w:val="24"/>
          <w:szCs w:val="24"/>
        </w:rPr>
        <w:t xml:space="preserve"> on Alternative </w:t>
      </w:r>
      <w:r w:rsidR="00520C7B">
        <w:rPr>
          <w:rFonts w:ascii="Times New Roman" w:hAnsi="Times New Roman" w:cs="Times New Roman"/>
          <w:b/>
          <w:bCs/>
          <w:sz w:val="24"/>
          <w:szCs w:val="24"/>
        </w:rPr>
        <w:t xml:space="preserve">Management and Operational </w:t>
      </w:r>
      <w:r>
        <w:rPr>
          <w:rFonts w:ascii="Times New Roman" w:hAnsi="Times New Roman" w:cs="Times New Roman"/>
          <w:b/>
          <w:bCs/>
          <w:sz w:val="24"/>
          <w:szCs w:val="24"/>
        </w:rPr>
        <w:t>Models</w:t>
      </w:r>
    </w:p>
    <w:p w14:paraId="3B11ABBD" w14:textId="5FC4C9B4" w:rsidR="00EA218A" w:rsidRDefault="009978BC" w:rsidP="00B87BE5">
      <w:pPr>
        <w:spacing w:after="360"/>
        <w:jc w:val="both"/>
        <w:rPr>
          <w:rFonts w:ascii="Times New Roman" w:hAnsi="Times New Roman" w:cs="Times New Roman"/>
          <w:sz w:val="24"/>
          <w:szCs w:val="24"/>
        </w:rPr>
      </w:pPr>
      <w:r>
        <w:rPr>
          <w:rFonts w:ascii="Times New Roman" w:hAnsi="Times New Roman" w:cs="Times New Roman"/>
          <w:sz w:val="24"/>
          <w:szCs w:val="24"/>
        </w:rPr>
        <w:t xml:space="preserve">Under </w:t>
      </w:r>
      <w:r w:rsidR="001876E6">
        <w:rPr>
          <w:rFonts w:ascii="Times New Roman" w:hAnsi="Times New Roman" w:cs="Times New Roman"/>
          <w:sz w:val="24"/>
          <w:szCs w:val="24"/>
        </w:rPr>
        <w:t>Sub-task 2.</w:t>
      </w:r>
      <w:r w:rsidR="00DB3737">
        <w:rPr>
          <w:rFonts w:ascii="Times New Roman" w:hAnsi="Times New Roman" w:cs="Times New Roman"/>
          <w:sz w:val="24"/>
          <w:szCs w:val="24"/>
        </w:rPr>
        <w:t>5</w:t>
      </w:r>
      <w:r>
        <w:rPr>
          <w:rFonts w:ascii="Times New Roman" w:hAnsi="Times New Roman" w:cs="Times New Roman"/>
          <w:sz w:val="24"/>
          <w:szCs w:val="24"/>
        </w:rPr>
        <w:t xml:space="preserve">, drawing on the findings of </w:t>
      </w:r>
      <w:r w:rsidR="00153A6E">
        <w:rPr>
          <w:rFonts w:ascii="Times New Roman" w:hAnsi="Times New Roman" w:cs="Times New Roman"/>
          <w:sz w:val="24"/>
          <w:szCs w:val="24"/>
        </w:rPr>
        <w:t>S</w:t>
      </w:r>
      <w:r>
        <w:rPr>
          <w:rFonts w:ascii="Times New Roman" w:hAnsi="Times New Roman" w:cs="Times New Roman"/>
          <w:sz w:val="24"/>
          <w:szCs w:val="24"/>
        </w:rPr>
        <w:t>ub-tasks</w:t>
      </w:r>
      <w:r w:rsidR="00153A6E">
        <w:rPr>
          <w:rFonts w:ascii="Times New Roman" w:hAnsi="Times New Roman" w:cs="Times New Roman"/>
          <w:sz w:val="24"/>
          <w:szCs w:val="24"/>
        </w:rPr>
        <w:t xml:space="preserve"> 2.1-2.</w:t>
      </w:r>
      <w:r w:rsidR="00DB3737">
        <w:rPr>
          <w:rFonts w:ascii="Times New Roman" w:hAnsi="Times New Roman" w:cs="Times New Roman"/>
          <w:sz w:val="24"/>
          <w:szCs w:val="24"/>
        </w:rPr>
        <w:t>4</w:t>
      </w:r>
      <w:r>
        <w:rPr>
          <w:rFonts w:ascii="Times New Roman" w:hAnsi="Times New Roman" w:cs="Times New Roman"/>
          <w:sz w:val="24"/>
          <w:szCs w:val="24"/>
        </w:rPr>
        <w:t xml:space="preserve">, the Consultant will develop a detailed profile of at least </w:t>
      </w:r>
      <w:r w:rsidR="00153A6E">
        <w:rPr>
          <w:rFonts w:ascii="Times New Roman" w:hAnsi="Times New Roman" w:cs="Times New Roman"/>
          <w:sz w:val="24"/>
          <w:szCs w:val="24"/>
        </w:rPr>
        <w:t>2</w:t>
      </w:r>
      <w:r>
        <w:rPr>
          <w:rFonts w:ascii="Times New Roman" w:hAnsi="Times New Roman" w:cs="Times New Roman"/>
          <w:sz w:val="24"/>
          <w:szCs w:val="24"/>
        </w:rPr>
        <w:t xml:space="preserve"> alternative operational and management models that could be adopted by the </w:t>
      </w:r>
      <w:proofErr w:type="spellStart"/>
      <w:r>
        <w:rPr>
          <w:rFonts w:ascii="Times New Roman" w:hAnsi="Times New Roman" w:cs="Times New Roman"/>
          <w:sz w:val="24"/>
          <w:szCs w:val="24"/>
        </w:rPr>
        <w:t>GoT</w:t>
      </w:r>
      <w:proofErr w:type="spellEnd"/>
      <w:r>
        <w:rPr>
          <w:rFonts w:ascii="Times New Roman" w:hAnsi="Times New Roman" w:cs="Times New Roman"/>
          <w:sz w:val="24"/>
          <w:szCs w:val="24"/>
        </w:rPr>
        <w:t xml:space="preserve"> to improve the performance of TCDD-owned logistics centers.</w:t>
      </w:r>
      <w:r w:rsidR="00153A6E">
        <w:rPr>
          <w:rFonts w:ascii="Times New Roman" w:hAnsi="Times New Roman" w:cs="Times New Roman"/>
          <w:sz w:val="24"/>
          <w:szCs w:val="24"/>
        </w:rPr>
        <w:t xml:space="preserve"> These alternative models will be expected to articulate options across the various components assessed in the previous sub-tasks, </w:t>
      </w:r>
      <w:r w:rsidR="001876E6">
        <w:rPr>
          <w:rFonts w:ascii="Times New Roman" w:hAnsi="Times New Roman" w:cs="Times New Roman"/>
          <w:sz w:val="24"/>
          <w:szCs w:val="24"/>
        </w:rPr>
        <w:t>including as regards</w:t>
      </w:r>
      <w:r w:rsidR="00153A6E">
        <w:rPr>
          <w:rFonts w:ascii="Times New Roman" w:hAnsi="Times New Roman" w:cs="Times New Roman"/>
          <w:sz w:val="24"/>
          <w:szCs w:val="24"/>
        </w:rPr>
        <w:t xml:space="preserve"> ownership structure, </w:t>
      </w:r>
      <w:r w:rsidR="00D845B4">
        <w:rPr>
          <w:rFonts w:ascii="Times New Roman" w:hAnsi="Times New Roman" w:cs="Times New Roman"/>
          <w:sz w:val="24"/>
          <w:szCs w:val="24"/>
        </w:rPr>
        <w:t xml:space="preserve">financing </w:t>
      </w:r>
      <w:r w:rsidR="00153A6E">
        <w:rPr>
          <w:rFonts w:ascii="Times New Roman" w:hAnsi="Times New Roman" w:cs="Times New Roman"/>
          <w:sz w:val="24"/>
          <w:szCs w:val="24"/>
        </w:rPr>
        <w:t xml:space="preserve">structure, </w:t>
      </w:r>
      <w:r w:rsidR="00D845B4">
        <w:rPr>
          <w:rFonts w:ascii="Times New Roman" w:hAnsi="Times New Roman" w:cs="Times New Roman"/>
          <w:sz w:val="24"/>
          <w:szCs w:val="24"/>
        </w:rPr>
        <w:t xml:space="preserve">regulation, planning, </w:t>
      </w:r>
      <w:r w:rsidR="00153A6E">
        <w:rPr>
          <w:rFonts w:ascii="Times New Roman" w:hAnsi="Times New Roman" w:cs="Times New Roman"/>
          <w:sz w:val="24"/>
          <w:szCs w:val="24"/>
        </w:rPr>
        <w:t>service delivery</w:t>
      </w:r>
      <w:r w:rsidR="00D845B4">
        <w:rPr>
          <w:rFonts w:ascii="Times New Roman" w:hAnsi="Times New Roman" w:cs="Times New Roman"/>
          <w:sz w:val="24"/>
          <w:szCs w:val="24"/>
        </w:rPr>
        <w:t xml:space="preserve"> and business model</w:t>
      </w:r>
      <w:r w:rsidR="00153A6E">
        <w:rPr>
          <w:rFonts w:ascii="Times New Roman" w:hAnsi="Times New Roman" w:cs="Times New Roman"/>
          <w:sz w:val="24"/>
          <w:szCs w:val="24"/>
        </w:rPr>
        <w:t xml:space="preserve"> (e.g., in-house vs. outsourced</w:t>
      </w:r>
      <w:r w:rsidR="001876E6">
        <w:rPr>
          <w:rFonts w:ascii="Times New Roman" w:hAnsi="Times New Roman" w:cs="Times New Roman"/>
          <w:sz w:val="24"/>
          <w:szCs w:val="24"/>
        </w:rPr>
        <w:t>;</w:t>
      </w:r>
      <w:r w:rsidR="00153A6E">
        <w:rPr>
          <w:rFonts w:ascii="Times New Roman" w:hAnsi="Times New Roman" w:cs="Times New Roman"/>
          <w:sz w:val="24"/>
          <w:szCs w:val="24"/>
        </w:rPr>
        <w:t xml:space="preserve"> typology of services offered</w:t>
      </w:r>
      <w:r w:rsidR="00D845B4">
        <w:rPr>
          <w:rFonts w:ascii="Times New Roman" w:hAnsi="Times New Roman" w:cs="Times New Roman"/>
          <w:sz w:val="24"/>
          <w:szCs w:val="24"/>
        </w:rPr>
        <w:t>; revenue sources; cost management</w:t>
      </w:r>
      <w:r w:rsidR="00153A6E">
        <w:rPr>
          <w:rFonts w:ascii="Times New Roman" w:hAnsi="Times New Roman" w:cs="Times New Roman"/>
          <w:sz w:val="24"/>
          <w:szCs w:val="24"/>
        </w:rPr>
        <w:t>), operational profile</w:t>
      </w:r>
      <w:r w:rsidR="00D845B4">
        <w:rPr>
          <w:rFonts w:ascii="Times New Roman" w:hAnsi="Times New Roman" w:cs="Times New Roman"/>
          <w:sz w:val="24"/>
          <w:szCs w:val="24"/>
        </w:rPr>
        <w:t xml:space="preserve"> </w:t>
      </w:r>
      <w:r w:rsidR="00153A6E">
        <w:rPr>
          <w:rFonts w:ascii="Times New Roman" w:hAnsi="Times New Roman" w:cs="Times New Roman"/>
          <w:sz w:val="24"/>
          <w:szCs w:val="24"/>
        </w:rPr>
        <w:t>(e.g., facility size and location profile, equipment and facilities used), business development practices</w:t>
      </w:r>
      <w:r w:rsidR="000B7D29">
        <w:rPr>
          <w:rFonts w:ascii="Times New Roman" w:hAnsi="Times New Roman" w:cs="Times New Roman"/>
          <w:sz w:val="24"/>
          <w:szCs w:val="24"/>
        </w:rPr>
        <w:t>, planning practices, and the like</w:t>
      </w:r>
      <w:r w:rsidR="00153A6E">
        <w:rPr>
          <w:rFonts w:ascii="Times New Roman" w:hAnsi="Times New Roman" w:cs="Times New Roman"/>
          <w:sz w:val="24"/>
          <w:szCs w:val="24"/>
        </w:rPr>
        <w:t>. For each option, the Consultant will articulate key strengths and limitations, key market and/or political considerations</w:t>
      </w:r>
      <w:r w:rsidR="001876E6">
        <w:rPr>
          <w:rFonts w:ascii="Times New Roman" w:hAnsi="Times New Roman" w:cs="Times New Roman"/>
          <w:sz w:val="24"/>
          <w:szCs w:val="24"/>
        </w:rPr>
        <w:t xml:space="preserve"> and key success factors critical to their implementation</w:t>
      </w:r>
      <w:r w:rsidR="00153A6E">
        <w:rPr>
          <w:rFonts w:ascii="Times New Roman" w:hAnsi="Times New Roman" w:cs="Times New Roman"/>
          <w:sz w:val="24"/>
          <w:szCs w:val="24"/>
        </w:rPr>
        <w:t>, rationale for their being recommended, and a brief action plan to carry them out</w:t>
      </w:r>
      <w:r w:rsidR="001876E6">
        <w:rPr>
          <w:rFonts w:ascii="Times New Roman" w:hAnsi="Times New Roman" w:cs="Times New Roman"/>
          <w:sz w:val="24"/>
          <w:szCs w:val="24"/>
        </w:rPr>
        <w:t xml:space="preserve"> if taken up by the </w:t>
      </w:r>
      <w:proofErr w:type="spellStart"/>
      <w:r w:rsidR="001876E6">
        <w:rPr>
          <w:rFonts w:ascii="Times New Roman" w:hAnsi="Times New Roman" w:cs="Times New Roman"/>
          <w:sz w:val="24"/>
          <w:szCs w:val="24"/>
        </w:rPr>
        <w:t>GoT</w:t>
      </w:r>
      <w:proofErr w:type="spellEnd"/>
      <w:r w:rsidR="00153A6E">
        <w:rPr>
          <w:rFonts w:ascii="Times New Roman" w:hAnsi="Times New Roman" w:cs="Times New Roman"/>
          <w:sz w:val="24"/>
          <w:szCs w:val="24"/>
        </w:rPr>
        <w:t xml:space="preserve">. </w:t>
      </w:r>
    </w:p>
    <w:p w14:paraId="1A3A217A" w14:textId="77777777" w:rsidR="003D27B5" w:rsidRPr="00E32E80" w:rsidRDefault="003D27B5" w:rsidP="003D27B5">
      <w:pPr>
        <w:spacing w:after="120"/>
        <w:jc w:val="both"/>
        <w:rPr>
          <w:rFonts w:ascii="Times New Roman" w:hAnsi="Times New Roman" w:cs="Times New Roman"/>
          <w:sz w:val="24"/>
          <w:szCs w:val="24"/>
        </w:rPr>
      </w:pPr>
      <w:r w:rsidRPr="00E32E80">
        <w:rPr>
          <w:rFonts w:ascii="Times New Roman" w:hAnsi="Times New Roman" w:cs="Times New Roman"/>
          <w:b/>
          <w:bCs/>
          <w:sz w:val="24"/>
          <w:szCs w:val="24"/>
        </w:rPr>
        <w:lastRenderedPageBreak/>
        <w:t xml:space="preserve">Task </w:t>
      </w:r>
      <w:r>
        <w:rPr>
          <w:rFonts w:ascii="Times New Roman" w:hAnsi="Times New Roman" w:cs="Times New Roman"/>
          <w:b/>
          <w:bCs/>
          <w:sz w:val="24"/>
          <w:szCs w:val="24"/>
        </w:rPr>
        <w:t>3</w:t>
      </w:r>
      <w:r w:rsidRPr="00E32E80">
        <w:rPr>
          <w:rFonts w:ascii="Times New Roman" w:hAnsi="Times New Roman" w:cs="Times New Roman"/>
          <w:b/>
          <w:bCs/>
          <w:sz w:val="24"/>
          <w:szCs w:val="24"/>
        </w:rPr>
        <w:t xml:space="preserve">: </w:t>
      </w:r>
      <w:r w:rsidRPr="003C0CA2">
        <w:rPr>
          <w:rFonts w:ascii="Times New Roman" w:hAnsi="Times New Roman" w:cs="Times New Roman"/>
          <w:b/>
          <w:bCs/>
          <w:sz w:val="24"/>
          <w:szCs w:val="24"/>
        </w:rPr>
        <w:t>Institutional Capacity Strengthening for Procurement and Contract Preparation in the Rail Sector</w:t>
      </w:r>
    </w:p>
    <w:p w14:paraId="4322FA38" w14:textId="77777777" w:rsidR="003D27B5" w:rsidRPr="003C0CA2" w:rsidRDefault="003D27B5" w:rsidP="003D27B5">
      <w:pPr>
        <w:pStyle w:val="NormalWeb"/>
        <w:rPr>
          <w:rFonts w:eastAsiaTheme="minorHAnsi"/>
          <w:lang w:val="en-US" w:eastAsia="en-US"/>
        </w:rPr>
      </w:pPr>
      <w:r w:rsidRPr="003C0CA2">
        <w:rPr>
          <w:rFonts w:eastAsiaTheme="minorHAnsi"/>
          <w:lang w:val="en-US" w:eastAsia="en-US"/>
        </w:rPr>
        <w:t>Under this activity, the Consultant will support AYGM in strengthening its institutional capacity for the preparation, structuring, and management of rail sector procurement processes. The objective is to enhance AYGM’s ability to prepare technically sound, market-responsive, and implementation-ready tender documents in line with national legislation, international financing institution (IFI) requirements, and international best practice in the rail sector.</w:t>
      </w:r>
    </w:p>
    <w:p w14:paraId="622B3EFE" w14:textId="77777777" w:rsidR="006A6AD4" w:rsidRDefault="006A6AD4" w:rsidP="003D27B5">
      <w:pPr>
        <w:pStyle w:val="NormalWeb"/>
        <w:rPr>
          <w:rFonts w:eastAsiaTheme="minorHAnsi"/>
          <w:lang w:val="en-US" w:eastAsia="en-US"/>
        </w:rPr>
      </w:pPr>
      <w:r w:rsidRPr="006A6AD4">
        <w:rPr>
          <w:rFonts w:eastAsiaTheme="minorHAnsi"/>
          <w:lang w:val="en-US" w:eastAsia="en-US"/>
        </w:rPr>
        <w:t>The support will focus on improving internal calculations, reference documents, and methodologies used by AYGM in the preparation of rail-related procurement packages, including railway construction works and consulting services.</w:t>
      </w:r>
    </w:p>
    <w:p w14:paraId="29665CF8" w14:textId="7B50B48B" w:rsidR="003D27B5" w:rsidRPr="003C0CA2" w:rsidRDefault="003D27B5" w:rsidP="003D27B5">
      <w:pPr>
        <w:pStyle w:val="NormalWeb"/>
        <w:rPr>
          <w:rFonts w:eastAsiaTheme="minorHAnsi"/>
          <w:lang w:val="en-US" w:eastAsia="en-US"/>
        </w:rPr>
      </w:pPr>
      <w:r w:rsidRPr="003C0CA2">
        <w:rPr>
          <w:rFonts w:eastAsiaTheme="minorHAnsi"/>
          <w:lang w:val="en-US" w:eastAsia="en-US"/>
        </w:rPr>
        <w:t xml:space="preserve">In this context, the Consultant </w:t>
      </w:r>
      <w:proofErr w:type="gramStart"/>
      <w:r w:rsidRPr="003C0CA2">
        <w:rPr>
          <w:rFonts w:eastAsiaTheme="minorHAnsi"/>
          <w:lang w:val="en-US" w:eastAsia="en-US"/>
        </w:rPr>
        <w:t>will;</w:t>
      </w:r>
      <w:proofErr w:type="gramEnd"/>
    </w:p>
    <w:p w14:paraId="57096B70" w14:textId="77777777" w:rsidR="003D27B5" w:rsidRPr="003C0CA2" w:rsidRDefault="003D27B5" w:rsidP="003D27B5">
      <w:pPr>
        <w:pStyle w:val="ListeParagraf"/>
        <w:numPr>
          <w:ilvl w:val="0"/>
          <w:numId w:val="8"/>
        </w:numPr>
        <w:spacing w:after="120"/>
        <w:ind w:left="360"/>
        <w:contextualSpacing w:val="0"/>
        <w:jc w:val="both"/>
        <w:rPr>
          <w:rFonts w:ascii="Times New Roman" w:hAnsi="Times New Roman" w:cs="Times New Roman"/>
          <w:sz w:val="24"/>
          <w:szCs w:val="24"/>
        </w:rPr>
      </w:pPr>
      <w:r w:rsidRPr="003C0CA2">
        <w:rPr>
          <w:rFonts w:ascii="Times New Roman" w:hAnsi="Times New Roman" w:cs="Times New Roman"/>
          <w:sz w:val="24"/>
          <w:szCs w:val="24"/>
        </w:rPr>
        <w:t xml:space="preserve">Review and systematize existing AYGM procurement practices, standard bidding documents, and technical annexes related to rail infrastructure, rolling stock, logistics facilities, and operational </w:t>
      </w:r>
      <w:proofErr w:type="gramStart"/>
      <w:r w:rsidRPr="003C0CA2">
        <w:rPr>
          <w:rFonts w:ascii="Times New Roman" w:hAnsi="Times New Roman" w:cs="Times New Roman"/>
          <w:sz w:val="24"/>
          <w:szCs w:val="24"/>
        </w:rPr>
        <w:t>services;</w:t>
      </w:r>
      <w:proofErr w:type="gramEnd"/>
    </w:p>
    <w:p w14:paraId="1F6B7D42" w14:textId="2957B282" w:rsidR="003D27B5" w:rsidRPr="003C0CA2" w:rsidRDefault="00673BC9" w:rsidP="003D27B5">
      <w:pPr>
        <w:pStyle w:val="ListeParagraf"/>
        <w:numPr>
          <w:ilvl w:val="0"/>
          <w:numId w:val="8"/>
        </w:numPr>
        <w:spacing w:after="120"/>
        <w:ind w:left="360"/>
        <w:contextualSpacing w:val="0"/>
        <w:jc w:val="both"/>
        <w:rPr>
          <w:rFonts w:ascii="Times New Roman" w:hAnsi="Times New Roman" w:cs="Times New Roman"/>
          <w:sz w:val="24"/>
          <w:szCs w:val="24"/>
        </w:rPr>
      </w:pPr>
      <w:r w:rsidRPr="00673BC9">
        <w:rPr>
          <w:rFonts w:ascii="Times New Roman" w:hAnsi="Times New Roman" w:cs="Times New Roman"/>
          <w:sz w:val="24"/>
          <w:szCs w:val="24"/>
        </w:rPr>
        <w:t xml:space="preserve">Develop and/or update reference unit price analysis and unit price descriptions for rail infrastructure works, systems, and services (including, where relevant, infrastructure works, superstructure works, signaling, electrification, logistics facilities, and rail-related services), drawing on recent domestic tenders, international benchmarks, and market </w:t>
      </w:r>
      <w:proofErr w:type="gramStart"/>
      <w:r w:rsidRPr="00673BC9">
        <w:rPr>
          <w:rFonts w:ascii="Times New Roman" w:hAnsi="Times New Roman" w:cs="Times New Roman"/>
          <w:sz w:val="24"/>
          <w:szCs w:val="24"/>
        </w:rPr>
        <w:t>data;</w:t>
      </w:r>
      <w:proofErr w:type="gramEnd"/>
    </w:p>
    <w:p w14:paraId="79B11115" w14:textId="4F83748B" w:rsidR="003D27B5" w:rsidRDefault="003D27B5" w:rsidP="003D27B5">
      <w:pPr>
        <w:pStyle w:val="ListeParagraf"/>
        <w:numPr>
          <w:ilvl w:val="0"/>
          <w:numId w:val="8"/>
        </w:numPr>
        <w:spacing w:after="120"/>
        <w:ind w:left="360"/>
        <w:contextualSpacing w:val="0"/>
        <w:jc w:val="both"/>
        <w:rPr>
          <w:rFonts w:ascii="Times New Roman" w:hAnsi="Times New Roman" w:cs="Times New Roman"/>
          <w:sz w:val="24"/>
          <w:szCs w:val="24"/>
        </w:rPr>
      </w:pPr>
      <w:r w:rsidRPr="003C0CA2">
        <w:rPr>
          <w:rFonts w:ascii="Times New Roman" w:hAnsi="Times New Roman" w:cs="Times New Roman"/>
          <w:sz w:val="24"/>
          <w:szCs w:val="24"/>
        </w:rPr>
        <w:t xml:space="preserve">Support the preparation and standardization of </w:t>
      </w:r>
      <w:r w:rsidRPr="00A26553">
        <w:rPr>
          <w:rFonts w:ascii="Times New Roman" w:hAnsi="Times New Roman" w:cs="Times New Roman"/>
          <w:sz w:val="24"/>
          <w:szCs w:val="24"/>
        </w:rPr>
        <w:t>technical specifications</w:t>
      </w:r>
      <w:r w:rsidRPr="003C0CA2">
        <w:rPr>
          <w:rFonts w:ascii="Times New Roman" w:hAnsi="Times New Roman" w:cs="Times New Roman"/>
          <w:sz w:val="24"/>
          <w:szCs w:val="24"/>
        </w:rPr>
        <w:t xml:space="preserve">, </w:t>
      </w:r>
      <w:r w:rsidR="00365BB4">
        <w:rPr>
          <w:rFonts w:ascii="Times New Roman" w:hAnsi="Times New Roman" w:cs="Times New Roman"/>
          <w:sz w:val="24"/>
          <w:szCs w:val="24"/>
        </w:rPr>
        <w:t>p</w:t>
      </w:r>
      <w:r w:rsidR="00365BB4" w:rsidRPr="00A26553">
        <w:rPr>
          <w:rFonts w:ascii="Times New Roman" w:hAnsi="Times New Roman" w:cs="Times New Roman"/>
          <w:sz w:val="24"/>
          <w:szCs w:val="24"/>
        </w:rPr>
        <w:t xml:space="preserve">articular </w:t>
      </w:r>
      <w:r w:rsidR="00365BB4">
        <w:rPr>
          <w:rFonts w:ascii="Times New Roman" w:hAnsi="Times New Roman" w:cs="Times New Roman"/>
          <w:sz w:val="24"/>
          <w:szCs w:val="24"/>
        </w:rPr>
        <w:t>c</w:t>
      </w:r>
      <w:r w:rsidR="00365BB4" w:rsidRPr="00A26553">
        <w:rPr>
          <w:rFonts w:ascii="Times New Roman" w:hAnsi="Times New Roman" w:cs="Times New Roman"/>
          <w:sz w:val="24"/>
          <w:szCs w:val="24"/>
        </w:rPr>
        <w:t>onditions</w:t>
      </w:r>
      <w:r w:rsidRPr="003C0CA2">
        <w:rPr>
          <w:rFonts w:ascii="Times New Roman" w:hAnsi="Times New Roman" w:cs="Times New Roman"/>
          <w:sz w:val="24"/>
          <w:szCs w:val="24"/>
        </w:rPr>
        <w:t xml:space="preserve">, and </w:t>
      </w:r>
      <w:r w:rsidRPr="00A26553">
        <w:rPr>
          <w:rFonts w:ascii="Times New Roman" w:hAnsi="Times New Roman" w:cs="Times New Roman"/>
          <w:sz w:val="24"/>
          <w:szCs w:val="24"/>
        </w:rPr>
        <w:t>performance-based clauses</w:t>
      </w:r>
      <w:r w:rsidRPr="003C0CA2">
        <w:rPr>
          <w:rFonts w:ascii="Times New Roman" w:hAnsi="Times New Roman" w:cs="Times New Roman"/>
          <w:sz w:val="24"/>
          <w:szCs w:val="24"/>
        </w:rPr>
        <w:t xml:space="preserve"> for rail sector tenders, with particular emphasis on clarity, risk allocation, measurability, and contract </w:t>
      </w:r>
      <w:proofErr w:type="gramStart"/>
      <w:r w:rsidRPr="003C0CA2">
        <w:rPr>
          <w:rFonts w:ascii="Times New Roman" w:hAnsi="Times New Roman" w:cs="Times New Roman"/>
          <w:sz w:val="24"/>
          <w:szCs w:val="24"/>
        </w:rPr>
        <w:t>manageability;</w:t>
      </w:r>
      <w:proofErr w:type="gramEnd"/>
    </w:p>
    <w:p w14:paraId="18E9571B" w14:textId="77777777" w:rsidR="003D27B5" w:rsidRPr="003C0CA2" w:rsidRDefault="003D27B5" w:rsidP="003D27B5">
      <w:pPr>
        <w:pStyle w:val="ListeParagraf"/>
        <w:numPr>
          <w:ilvl w:val="0"/>
          <w:numId w:val="8"/>
        </w:numPr>
        <w:spacing w:after="120"/>
        <w:ind w:left="360"/>
        <w:contextualSpacing w:val="0"/>
        <w:jc w:val="both"/>
        <w:rPr>
          <w:rFonts w:ascii="Times New Roman" w:hAnsi="Times New Roman" w:cs="Times New Roman"/>
          <w:sz w:val="24"/>
          <w:szCs w:val="24"/>
        </w:rPr>
      </w:pPr>
      <w:r w:rsidRPr="003C0CA2">
        <w:rPr>
          <w:rFonts w:ascii="Times New Roman" w:hAnsi="Times New Roman" w:cs="Times New Roman"/>
          <w:sz w:val="24"/>
          <w:szCs w:val="24"/>
        </w:rPr>
        <w:t xml:space="preserve">Assist AYGM in improving the structure and content of </w:t>
      </w:r>
      <w:r w:rsidRPr="00A26553">
        <w:rPr>
          <w:rFonts w:ascii="Times New Roman" w:hAnsi="Times New Roman" w:cs="Times New Roman"/>
          <w:sz w:val="24"/>
          <w:szCs w:val="24"/>
        </w:rPr>
        <w:t>bidding documents</w:t>
      </w:r>
      <w:r w:rsidRPr="003C0CA2">
        <w:rPr>
          <w:rFonts w:ascii="Times New Roman" w:hAnsi="Times New Roman" w:cs="Times New Roman"/>
          <w:sz w:val="24"/>
          <w:szCs w:val="24"/>
        </w:rPr>
        <w:t xml:space="preserve">, including qualification criteria, evaluation methodologies, and contract conditions, to better reflect market realities and reduce implementation </w:t>
      </w:r>
      <w:proofErr w:type="gramStart"/>
      <w:r w:rsidRPr="003C0CA2">
        <w:rPr>
          <w:rFonts w:ascii="Times New Roman" w:hAnsi="Times New Roman" w:cs="Times New Roman"/>
          <w:sz w:val="24"/>
          <w:szCs w:val="24"/>
        </w:rPr>
        <w:t>risks;</w:t>
      </w:r>
      <w:proofErr w:type="gramEnd"/>
    </w:p>
    <w:p w14:paraId="4ABF5FAE" w14:textId="77777777" w:rsidR="003D27B5" w:rsidRPr="003C0CA2" w:rsidRDefault="003D27B5" w:rsidP="003D27B5">
      <w:pPr>
        <w:pStyle w:val="ListeParagraf"/>
        <w:numPr>
          <w:ilvl w:val="0"/>
          <w:numId w:val="8"/>
        </w:numPr>
        <w:spacing w:after="120"/>
        <w:ind w:left="360"/>
        <w:contextualSpacing w:val="0"/>
        <w:jc w:val="both"/>
        <w:rPr>
          <w:rFonts w:ascii="Times New Roman" w:hAnsi="Times New Roman" w:cs="Times New Roman"/>
          <w:sz w:val="24"/>
          <w:szCs w:val="24"/>
        </w:rPr>
      </w:pPr>
      <w:r w:rsidRPr="003C0CA2">
        <w:rPr>
          <w:rFonts w:ascii="Times New Roman" w:hAnsi="Times New Roman" w:cs="Times New Roman"/>
          <w:sz w:val="24"/>
          <w:szCs w:val="24"/>
        </w:rPr>
        <w:t xml:space="preserve">Provide guidance on the integration of environmental, social, health and safety (ESHS), climate resilience, and sustainability considerations into technical specifications and procurement documents, in line with World Bank and other IFI </w:t>
      </w:r>
      <w:proofErr w:type="gramStart"/>
      <w:r w:rsidRPr="003C0CA2">
        <w:rPr>
          <w:rFonts w:ascii="Times New Roman" w:hAnsi="Times New Roman" w:cs="Times New Roman"/>
          <w:sz w:val="24"/>
          <w:szCs w:val="24"/>
        </w:rPr>
        <w:t>requirements;</w:t>
      </w:r>
      <w:proofErr w:type="gramEnd"/>
    </w:p>
    <w:p w14:paraId="2AC66AE2" w14:textId="77777777" w:rsidR="003D27B5" w:rsidRPr="003C0CA2" w:rsidRDefault="003D27B5" w:rsidP="003D27B5">
      <w:pPr>
        <w:pStyle w:val="ListeParagraf"/>
        <w:numPr>
          <w:ilvl w:val="0"/>
          <w:numId w:val="8"/>
        </w:numPr>
        <w:spacing w:after="120"/>
        <w:ind w:left="360"/>
        <w:contextualSpacing w:val="0"/>
        <w:jc w:val="both"/>
        <w:rPr>
          <w:rFonts w:ascii="Times New Roman" w:hAnsi="Times New Roman" w:cs="Times New Roman"/>
          <w:sz w:val="24"/>
          <w:szCs w:val="24"/>
        </w:rPr>
      </w:pPr>
      <w:r w:rsidRPr="003C0CA2">
        <w:rPr>
          <w:rFonts w:ascii="Times New Roman" w:hAnsi="Times New Roman" w:cs="Times New Roman"/>
          <w:sz w:val="24"/>
          <w:szCs w:val="24"/>
        </w:rPr>
        <w:t xml:space="preserve">Develop practical </w:t>
      </w:r>
      <w:r w:rsidRPr="003C0CA2">
        <w:rPr>
          <w:rFonts w:ascii="Times New Roman" w:hAnsi="Times New Roman" w:cs="Times New Roman"/>
          <w:b/>
          <w:bCs/>
          <w:sz w:val="24"/>
          <w:szCs w:val="24"/>
        </w:rPr>
        <w:t>procurement preparation checklists</w:t>
      </w:r>
      <w:r w:rsidRPr="003C0CA2">
        <w:rPr>
          <w:rFonts w:ascii="Times New Roman" w:hAnsi="Times New Roman" w:cs="Times New Roman"/>
          <w:sz w:val="24"/>
          <w:szCs w:val="24"/>
        </w:rPr>
        <w:t xml:space="preserve">, templates, and internal guidance notes to support AYGM staff throughout the tender preparation </w:t>
      </w:r>
      <w:proofErr w:type="gramStart"/>
      <w:r w:rsidRPr="003C0CA2">
        <w:rPr>
          <w:rFonts w:ascii="Times New Roman" w:hAnsi="Times New Roman" w:cs="Times New Roman"/>
          <w:sz w:val="24"/>
          <w:szCs w:val="24"/>
        </w:rPr>
        <w:t>lifecycle;</w:t>
      </w:r>
      <w:proofErr w:type="gramEnd"/>
    </w:p>
    <w:p w14:paraId="18FF1D52" w14:textId="77777777" w:rsidR="003D27B5" w:rsidRPr="003C0CA2" w:rsidRDefault="003D27B5" w:rsidP="003D27B5">
      <w:pPr>
        <w:spacing w:after="120"/>
        <w:jc w:val="both"/>
        <w:rPr>
          <w:rFonts w:ascii="Times New Roman" w:hAnsi="Times New Roman" w:cs="Times New Roman"/>
          <w:sz w:val="24"/>
          <w:szCs w:val="24"/>
        </w:rPr>
      </w:pPr>
      <w:r w:rsidRPr="003C0CA2">
        <w:rPr>
          <w:rFonts w:ascii="Times New Roman" w:hAnsi="Times New Roman" w:cs="Times New Roman"/>
          <w:sz w:val="24"/>
          <w:szCs w:val="24"/>
        </w:rPr>
        <w:t>The outputs under this activity will be practical and directly usable by AYGM, and may include draft templates, reference documents, sample specifications, unit cost tables, and internal guidance materials, to be delivered in both Turkish and English as applicable.</w:t>
      </w:r>
    </w:p>
    <w:p w14:paraId="1B7AEE43" w14:textId="7E96D656" w:rsidR="003C0CA2" w:rsidRDefault="003C0CA2" w:rsidP="00B87BE5">
      <w:pPr>
        <w:spacing w:after="360"/>
        <w:jc w:val="both"/>
        <w:rPr>
          <w:rFonts w:ascii="Times New Roman" w:hAnsi="Times New Roman" w:cs="Times New Roman"/>
          <w:sz w:val="24"/>
          <w:szCs w:val="24"/>
        </w:rPr>
      </w:pPr>
    </w:p>
    <w:p w14:paraId="7BA99FDE" w14:textId="356706F4" w:rsidR="003C0CA2" w:rsidRDefault="003C0CA2" w:rsidP="00B87BE5">
      <w:pPr>
        <w:spacing w:after="360"/>
        <w:jc w:val="both"/>
        <w:rPr>
          <w:rFonts w:ascii="Times New Roman" w:hAnsi="Times New Roman" w:cs="Times New Roman"/>
          <w:sz w:val="24"/>
          <w:szCs w:val="24"/>
        </w:rPr>
      </w:pPr>
    </w:p>
    <w:p w14:paraId="4C82897E" w14:textId="77777777" w:rsidR="003C0CA2" w:rsidRPr="00B87BE5" w:rsidRDefault="003C0CA2" w:rsidP="00B87BE5">
      <w:pPr>
        <w:spacing w:after="360"/>
        <w:jc w:val="both"/>
        <w:rPr>
          <w:rFonts w:ascii="Times New Roman" w:hAnsi="Times New Roman" w:cs="Times New Roman"/>
          <w:sz w:val="24"/>
          <w:szCs w:val="24"/>
        </w:rPr>
      </w:pPr>
    </w:p>
    <w:p w14:paraId="0EAF70BA" w14:textId="134BB53B" w:rsidR="006F0643" w:rsidRDefault="00CB26E5" w:rsidP="00FF14A4">
      <w:pPr>
        <w:jc w:val="both"/>
        <w:rPr>
          <w:rFonts w:ascii="Times New Roman" w:hAnsi="Times New Roman" w:cs="Times New Roman"/>
          <w:b/>
          <w:bCs/>
          <w:sz w:val="24"/>
          <w:szCs w:val="24"/>
        </w:rPr>
      </w:pPr>
      <w:r w:rsidRPr="00CB26E5">
        <w:rPr>
          <w:rFonts w:ascii="Times New Roman" w:hAnsi="Times New Roman" w:cs="Times New Roman"/>
          <w:b/>
          <w:bCs/>
          <w:sz w:val="24"/>
          <w:szCs w:val="24"/>
        </w:rPr>
        <w:lastRenderedPageBreak/>
        <w:t>Deliverables</w:t>
      </w:r>
    </w:p>
    <w:p w14:paraId="3999E994" w14:textId="40D90DDF" w:rsidR="00CB26E5" w:rsidRDefault="00CB26E5" w:rsidP="00FF14A4">
      <w:pPr>
        <w:jc w:val="both"/>
        <w:rPr>
          <w:rFonts w:ascii="Times New Roman" w:hAnsi="Times New Roman" w:cs="Times New Roman"/>
          <w:sz w:val="24"/>
          <w:szCs w:val="24"/>
        </w:rPr>
      </w:pPr>
      <w:r>
        <w:rPr>
          <w:rFonts w:ascii="Times New Roman" w:hAnsi="Times New Roman" w:cs="Times New Roman"/>
          <w:sz w:val="24"/>
          <w:szCs w:val="24"/>
        </w:rPr>
        <w:t>Each sub-task under Tasks 1 and 2 will be presented in a standalone deliverable and approved on a standalone basis, per the schedule below:</w:t>
      </w:r>
    </w:p>
    <w:tbl>
      <w:tblPr>
        <w:tblStyle w:val="TabloKlavuzu"/>
        <w:tblW w:w="0" w:type="auto"/>
        <w:jc w:val="center"/>
        <w:tblLook w:val="04A0" w:firstRow="1" w:lastRow="0" w:firstColumn="1" w:lastColumn="0" w:noHBand="0" w:noVBand="1"/>
      </w:tblPr>
      <w:tblGrid>
        <w:gridCol w:w="3325"/>
        <w:gridCol w:w="3510"/>
      </w:tblGrid>
      <w:tr w:rsidR="00CB26E5" w14:paraId="14BAC130" w14:textId="77777777" w:rsidTr="00E357E0">
        <w:trPr>
          <w:tblHeader/>
          <w:jc w:val="center"/>
        </w:trPr>
        <w:tc>
          <w:tcPr>
            <w:tcW w:w="3325" w:type="dxa"/>
            <w:shd w:val="clear" w:color="auto" w:fill="DAE9F7" w:themeFill="text2" w:themeFillTint="1A"/>
          </w:tcPr>
          <w:p w14:paraId="7A0E3CA1" w14:textId="39D10478" w:rsidR="00CB26E5" w:rsidRPr="0065126E" w:rsidRDefault="00CB26E5" w:rsidP="00FF14A4">
            <w:pPr>
              <w:jc w:val="both"/>
              <w:rPr>
                <w:rFonts w:ascii="Times New Roman" w:hAnsi="Times New Roman" w:cs="Times New Roman"/>
                <w:b/>
                <w:bCs/>
              </w:rPr>
            </w:pPr>
            <w:r w:rsidRPr="0065126E">
              <w:rPr>
                <w:rFonts w:ascii="Times New Roman" w:hAnsi="Times New Roman" w:cs="Times New Roman"/>
                <w:b/>
                <w:bCs/>
              </w:rPr>
              <w:t>Deliverable</w:t>
            </w:r>
          </w:p>
        </w:tc>
        <w:tc>
          <w:tcPr>
            <w:tcW w:w="3510" w:type="dxa"/>
            <w:shd w:val="clear" w:color="auto" w:fill="DAE9F7" w:themeFill="text2" w:themeFillTint="1A"/>
          </w:tcPr>
          <w:p w14:paraId="0F38E520" w14:textId="2C02E58C" w:rsidR="00CB26E5" w:rsidRPr="0065126E" w:rsidRDefault="00CB26E5" w:rsidP="00FF14A4">
            <w:pPr>
              <w:jc w:val="both"/>
              <w:rPr>
                <w:rFonts w:ascii="Times New Roman" w:hAnsi="Times New Roman" w:cs="Times New Roman"/>
                <w:b/>
                <w:bCs/>
              </w:rPr>
            </w:pPr>
            <w:r w:rsidRPr="0065126E">
              <w:rPr>
                <w:rFonts w:ascii="Times New Roman" w:hAnsi="Times New Roman" w:cs="Times New Roman"/>
                <w:b/>
                <w:bCs/>
              </w:rPr>
              <w:t xml:space="preserve">Due </w:t>
            </w:r>
            <w:r w:rsidR="0065126E">
              <w:rPr>
                <w:rFonts w:ascii="Times New Roman" w:hAnsi="Times New Roman" w:cs="Times New Roman"/>
                <w:b/>
                <w:bCs/>
              </w:rPr>
              <w:t>date of first submission</w:t>
            </w:r>
          </w:p>
        </w:tc>
      </w:tr>
      <w:tr w:rsidR="0065126E" w14:paraId="6D0E6ABA" w14:textId="77777777" w:rsidTr="00E357E0">
        <w:trPr>
          <w:jc w:val="center"/>
        </w:trPr>
        <w:tc>
          <w:tcPr>
            <w:tcW w:w="6835" w:type="dxa"/>
            <w:gridSpan w:val="2"/>
            <w:shd w:val="clear" w:color="auto" w:fill="F2F2F2" w:themeFill="background1" w:themeFillShade="F2"/>
          </w:tcPr>
          <w:p w14:paraId="5260F7C7" w14:textId="3409F2BA" w:rsidR="0065126E" w:rsidRPr="0065126E" w:rsidRDefault="0065126E" w:rsidP="00FF14A4">
            <w:pPr>
              <w:jc w:val="both"/>
              <w:rPr>
                <w:rFonts w:ascii="Times New Roman" w:hAnsi="Times New Roman" w:cs="Times New Roman"/>
                <w:b/>
                <w:bCs/>
              </w:rPr>
            </w:pPr>
            <w:r>
              <w:rPr>
                <w:rFonts w:ascii="Times New Roman" w:hAnsi="Times New Roman" w:cs="Times New Roman"/>
                <w:b/>
                <w:bCs/>
              </w:rPr>
              <w:t>Task 1</w:t>
            </w:r>
          </w:p>
        </w:tc>
      </w:tr>
      <w:tr w:rsidR="0065126E" w14:paraId="3C4F9379" w14:textId="77777777" w:rsidTr="00E357E0">
        <w:trPr>
          <w:jc w:val="center"/>
        </w:trPr>
        <w:tc>
          <w:tcPr>
            <w:tcW w:w="3325" w:type="dxa"/>
          </w:tcPr>
          <w:p w14:paraId="6F6298BC" w14:textId="0B01185F" w:rsidR="0065126E" w:rsidRPr="0065126E" w:rsidRDefault="0065126E" w:rsidP="00FF14A4">
            <w:pPr>
              <w:jc w:val="both"/>
              <w:rPr>
                <w:rFonts w:ascii="Times New Roman" w:hAnsi="Times New Roman" w:cs="Times New Roman"/>
              </w:rPr>
            </w:pPr>
            <w:r w:rsidRPr="0065126E">
              <w:rPr>
                <w:rFonts w:ascii="Times New Roman" w:hAnsi="Times New Roman" w:cs="Times New Roman"/>
              </w:rPr>
              <w:t>Sub-task 1.1</w:t>
            </w:r>
          </w:p>
        </w:tc>
        <w:tc>
          <w:tcPr>
            <w:tcW w:w="3510" w:type="dxa"/>
          </w:tcPr>
          <w:p w14:paraId="348A64F3" w14:textId="6D646325" w:rsidR="0065126E" w:rsidRPr="0065126E" w:rsidRDefault="00D461E7" w:rsidP="00FF14A4">
            <w:pPr>
              <w:jc w:val="both"/>
              <w:rPr>
                <w:rFonts w:ascii="Times New Roman" w:hAnsi="Times New Roman" w:cs="Times New Roman"/>
              </w:rPr>
            </w:pPr>
            <w:r>
              <w:rPr>
                <w:rFonts w:ascii="Times New Roman" w:hAnsi="Times New Roman" w:cs="Times New Roman"/>
              </w:rPr>
              <w:t>4</w:t>
            </w:r>
            <w:r w:rsidR="0065126E" w:rsidRPr="0065126E">
              <w:rPr>
                <w:rFonts w:ascii="Times New Roman" w:hAnsi="Times New Roman" w:cs="Times New Roman"/>
              </w:rPr>
              <w:t xml:space="preserve"> months after contract signing</w:t>
            </w:r>
          </w:p>
        </w:tc>
      </w:tr>
      <w:tr w:rsidR="0065126E" w14:paraId="20619C95" w14:textId="77777777" w:rsidTr="00E357E0">
        <w:trPr>
          <w:jc w:val="center"/>
        </w:trPr>
        <w:tc>
          <w:tcPr>
            <w:tcW w:w="3325" w:type="dxa"/>
          </w:tcPr>
          <w:p w14:paraId="2ED1379E" w14:textId="1CF592E4" w:rsidR="0065126E" w:rsidRPr="0065126E" w:rsidRDefault="0065126E" w:rsidP="00FF14A4">
            <w:pPr>
              <w:jc w:val="both"/>
              <w:rPr>
                <w:rFonts w:ascii="Times New Roman" w:hAnsi="Times New Roman" w:cs="Times New Roman"/>
              </w:rPr>
            </w:pPr>
            <w:r w:rsidRPr="0065126E">
              <w:rPr>
                <w:rFonts w:ascii="Times New Roman" w:hAnsi="Times New Roman" w:cs="Times New Roman"/>
              </w:rPr>
              <w:t>Sub-task 1.2</w:t>
            </w:r>
          </w:p>
        </w:tc>
        <w:tc>
          <w:tcPr>
            <w:tcW w:w="3510" w:type="dxa"/>
          </w:tcPr>
          <w:p w14:paraId="2B4F6850" w14:textId="0B61F440" w:rsidR="0065126E" w:rsidRPr="0065126E" w:rsidRDefault="00D461E7" w:rsidP="00FF14A4">
            <w:pPr>
              <w:jc w:val="both"/>
              <w:rPr>
                <w:rFonts w:ascii="Times New Roman" w:hAnsi="Times New Roman" w:cs="Times New Roman"/>
              </w:rPr>
            </w:pPr>
            <w:r>
              <w:rPr>
                <w:rFonts w:ascii="Times New Roman" w:hAnsi="Times New Roman" w:cs="Times New Roman"/>
              </w:rPr>
              <w:t>5</w:t>
            </w:r>
            <w:r w:rsidR="0065126E">
              <w:rPr>
                <w:rFonts w:ascii="Times New Roman" w:hAnsi="Times New Roman" w:cs="Times New Roman"/>
              </w:rPr>
              <w:t xml:space="preserve"> months after contract signing</w:t>
            </w:r>
          </w:p>
        </w:tc>
      </w:tr>
      <w:tr w:rsidR="0065126E" w14:paraId="6C0D9AC2" w14:textId="77777777" w:rsidTr="00E357E0">
        <w:trPr>
          <w:jc w:val="center"/>
        </w:trPr>
        <w:tc>
          <w:tcPr>
            <w:tcW w:w="3325" w:type="dxa"/>
          </w:tcPr>
          <w:p w14:paraId="226117D4" w14:textId="6BF9B879" w:rsidR="0065126E" w:rsidRPr="0065126E" w:rsidRDefault="0065126E" w:rsidP="00FF14A4">
            <w:pPr>
              <w:jc w:val="both"/>
              <w:rPr>
                <w:rFonts w:ascii="Times New Roman" w:hAnsi="Times New Roman" w:cs="Times New Roman"/>
              </w:rPr>
            </w:pPr>
            <w:r w:rsidRPr="0065126E">
              <w:rPr>
                <w:rFonts w:ascii="Times New Roman" w:hAnsi="Times New Roman" w:cs="Times New Roman"/>
              </w:rPr>
              <w:t>Sub-task 1.3</w:t>
            </w:r>
          </w:p>
        </w:tc>
        <w:tc>
          <w:tcPr>
            <w:tcW w:w="3510" w:type="dxa"/>
          </w:tcPr>
          <w:p w14:paraId="01DBE5DA" w14:textId="0D6151B9" w:rsidR="0065126E" w:rsidRPr="0065126E" w:rsidRDefault="00D461E7" w:rsidP="00FF14A4">
            <w:pPr>
              <w:jc w:val="both"/>
              <w:rPr>
                <w:rFonts w:ascii="Times New Roman" w:hAnsi="Times New Roman" w:cs="Times New Roman"/>
                <w:b/>
                <w:bCs/>
              </w:rPr>
            </w:pPr>
            <w:r>
              <w:rPr>
                <w:rFonts w:ascii="Times New Roman" w:hAnsi="Times New Roman" w:cs="Times New Roman"/>
              </w:rPr>
              <w:t>5</w:t>
            </w:r>
            <w:r w:rsidR="0065126E">
              <w:rPr>
                <w:rFonts w:ascii="Times New Roman" w:hAnsi="Times New Roman" w:cs="Times New Roman"/>
              </w:rPr>
              <w:t xml:space="preserve"> months after contract signing</w:t>
            </w:r>
          </w:p>
        </w:tc>
      </w:tr>
      <w:tr w:rsidR="0065126E" w14:paraId="014373EC" w14:textId="77777777" w:rsidTr="00E357E0">
        <w:trPr>
          <w:jc w:val="center"/>
        </w:trPr>
        <w:tc>
          <w:tcPr>
            <w:tcW w:w="3325" w:type="dxa"/>
          </w:tcPr>
          <w:p w14:paraId="71072022" w14:textId="7F74B2C8" w:rsidR="0065126E" w:rsidRPr="0065126E" w:rsidRDefault="0065126E" w:rsidP="00FF14A4">
            <w:pPr>
              <w:jc w:val="both"/>
              <w:rPr>
                <w:rFonts w:ascii="Times New Roman" w:hAnsi="Times New Roman" w:cs="Times New Roman"/>
              </w:rPr>
            </w:pPr>
            <w:r w:rsidRPr="0065126E">
              <w:rPr>
                <w:rFonts w:ascii="Times New Roman" w:hAnsi="Times New Roman" w:cs="Times New Roman"/>
              </w:rPr>
              <w:t>Sub-task 1.4</w:t>
            </w:r>
          </w:p>
        </w:tc>
        <w:tc>
          <w:tcPr>
            <w:tcW w:w="3510" w:type="dxa"/>
          </w:tcPr>
          <w:p w14:paraId="3968B70E" w14:textId="404AD4CF" w:rsidR="0065126E" w:rsidRPr="0065126E" w:rsidRDefault="00D461E7" w:rsidP="00FF14A4">
            <w:pPr>
              <w:jc w:val="both"/>
              <w:rPr>
                <w:rFonts w:ascii="Times New Roman" w:hAnsi="Times New Roman" w:cs="Times New Roman"/>
              </w:rPr>
            </w:pPr>
            <w:r>
              <w:rPr>
                <w:rFonts w:ascii="Times New Roman" w:hAnsi="Times New Roman" w:cs="Times New Roman"/>
              </w:rPr>
              <w:t>7</w:t>
            </w:r>
            <w:r w:rsidR="0065126E">
              <w:rPr>
                <w:rFonts w:ascii="Times New Roman" w:hAnsi="Times New Roman" w:cs="Times New Roman"/>
              </w:rPr>
              <w:t xml:space="preserve"> months after contract signing</w:t>
            </w:r>
          </w:p>
        </w:tc>
      </w:tr>
      <w:tr w:rsidR="0065126E" w14:paraId="30C4BC36" w14:textId="77777777" w:rsidTr="00E357E0">
        <w:trPr>
          <w:jc w:val="center"/>
        </w:trPr>
        <w:tc>
          <w:tcPr>
            <w:tcW w:w="3325" w:type="dxa"/>
          </w:tcPr>
          <w:p w14:paraId="488FA4F4" w14:textId="7F611A73" w:rsidR="0065126E" w:rsidRPr="0065126E" w:rsidRDefault="0065126E" w:rsidP="00FF14A4">
            <w:pPr>
              <w:jc w:val="both"/>
              <w:rPr>
                <w:rFonts w:ascii="Times New Roman" w:hAnsi="Times New Roman" w:cs="Times New Roman"/>
              </w:rPr>
            </w:pPr>
            <w:r w:rsidRPr="0065126E">
              <w:rPr>
                <w:rFonts w:ascii="Times New Roman" w:hAnsi="Times New Roman" w:cs="Times New Roman"/>
              </w:rPr>
              <w:t>Sub-task 1.5</w:t>
            </w:r>
          </w:p>
        </w:tc>
        <w:tc>
          <w:tcPr>
            <w:tcW w:w="3510" w:type="dxa"/>
          </w:tcPr>
          <w:p w14:paraId="49B7F1D1" w14:textId="62C163C7" w:rsidR="0065126E" w:rsidRPr="0065126E" w:rsidRDefault="00D461E7" w:rsidP="00FF14A4">
            <w:pPr>
              <w:jc w:val="both"/>
              <w:rPr>
                <w:rFonts w:ascii="Times New Roman" w:hAnsi="Times New Roman" w:cs="Times New Roman"/>
              </w:rPr>
            </w:pPr>
            <w:r>
              <w:rPr>
                <w:rFonts w:ascii="Times New Roman" w:hAnsi="Times New Roman" w:cs="Times New Roman"/>
              </w:rPr>
              <w:t>8</w:t>
            </w:r>
            <w:r w:rsidR="0065126E">
              <w:rPr>
                <w:rFonts w:ascii="Times New Roman" w:hAnsi="Times New Roman" w:cs="Times New Roman"/>
              </w:rPr>
              <w:t xml:space="preserve"> months after contract signing</w:t>
            </w:r>
          </w:p>
        </w:tc>
      </w:tr>
      <w:tr w:rsidR="00747E54" w14:paraId="79674D34" w14:textId="77777777" w:rsidTr="00E357E0">
        <w:trPr>
          <w:jc w:val="center"/>
        </w:trPr>
        <w:tc>
          <w:tcPr>
            <w:tcW w:w="3325" w:type="dxa"/>
          </w:tcPr>
          <w:p w14:paraId="247763B3" w14:textId="33B2C88D" w:rsidR="00747E54" w:rsidRPr="0065126E" w:rsidRDefault="00747E54" w:rsidP="00FF14A4">
            <w:pPr>
              <w:jc w:val="both"/>
              <w:rPr>
                <w:rFonts w:ascii="Times New Roman" w:hAnsi="Times New Roman" w:cs="Times New Roman"/>
              </w:rPr>
            </w:pPr>
            <w:r>
              <w:rPr>
                <w:rFonts w:ascii="Times New Roman" w:hAnsi="Times New Roman" w:cs="Times New Roman"/>
              </w:rPr>
              <w:t>Sub-task 1.6</w:t>
            </w:r>
          </w:p>
        </w:tc>
        <w:tc>
          <w:tcPr>
            <w:tcW w:w="3510" w:type="dxa"/>
          </w:tcPr>
          <w:p w14:paraId="13387EDB" w14:textId="07865B76" w:rsidR="00747E54" w:rsidRDefault="00747E54" w:rsidP="00FF14A4">
            <w:pPr>
              <w:jc w:val="both"/>
              <w:rPr>
                <w:rFonts w:ascii="Times New Roman" w:hAnsi="Times New Roman" w:cs="Times New Roman"/>
              </w:rPr>
            </w:pPr>
            <w:r>
              <w:rPr>
                <w:rFonts w:ascii="Times New Roman" w:hAnsi="Times New Roman" w:cs="Times New Roman"/>
              </w:rPr>
              <w:t>6 months after contract signing</w:t>
            </w:r>
          </w:p>
        </w:tc>
      </w:tr>
      <w:tr w:rsidR="0065126E" w14:paraId="56C2F827" w14:textId="77777777" w:rsidTr="00E357E0">
        <w:trPr>
          <w:jc w:val="center"/>
        </w:trPr>
        <w:tc>
          <w:tcPr>
            <w:tcW w:w="6835" w:type="dxa"/>
            <w:gridSpan w:val="2"/>
            <w:shd w:val="clear" w:color="auto" w:fill="F2F2F2" w:themeFill="background1" w:themeFillShade="F2"/>
          </w:tcPr>
          <w:p w14:paraId="22ACB5B0" w14:textId="646F95F1" w:rsidR="0065126E" w:rsidRPr="0065126E" w:rsidRDefault="0065126E" w:rsidP="00FF14A4">
            <w:pPr>
              <w:jc w:val="both"/>
              <w:rPr>
                <w:rFonts w:ascii="Times New Roman" w:hAnsi="Times New Roman" w:cs="Times New Roman"/>
                <w:b/>
                <w:bCs/>
              </w:rPr>
            </w:pPr>
            <w:r>
              <w:rPr>
                <w:rFonts w:ascii="Times New Roman" w:hAnsi="Times New Roman" w:cs="Times New Roman"/>
                <w:b/>
                <w:bCs/>
              </w:rPr>
              <w:t>Task 2</w:t>
            </w:r>
          </w:p>
        </w:tc>
      </w:tr>
      <w:tr w:rsidR="0065126E" w14:paraId="744F1D82" w14:textId="77777777" w:rsidTr="00E357E0">
        <w:trPr>
          <w:jc w:val="center"/>
        </w:trPr>
        <w:tc>
          <w:tcPr>
            <w:tcW w:w="3325" w:type="dxa"/>
          </w:tcPr>
          <w:p w14:paraId="6E7DA263" w14:textId="4255A720" w:rsidR="0065126E" w:rsidRPr="0065126E" w:rsidRDefault="0065126E" w:rsidP="00FF14A4">
            <w:pPr>
              <w:jc w:val="both"/>
              <w:rPr>
                <w:rFonts w:ascii="Times New Roman" w:hAnsi="Times New Roman" w:cs="Times New Roman"/>
                <w:b/>
                <w:bCs/>
              </w:rPr>
            </w:pPr>
            <w:r w:rsidRPr="0065126E">
              <w:rPr>
                <w:rFonts w:ascii="Times New Roman" w:hAnsi="Times New Roman" w:cs="Times New Roman"/>
              </w:rPr>
              <w:t xml:space="preserve">Sub-task </w:t>
            </w:r>
            <w:r>
              <w:rPr>
                <w:rFonts w:ascii="Times New Roman" w:hAnsi="Times New Roman" w:cs="Times New Roman"/>
              </w:rPr>
              <w:t>2</w:t>
            </w:r>
            <w:r w:rsidRPr="0065126E">
              <w:rPr>
                <w:rFonts w:ascii="Times New Roman" w:hAnsi="Times New Roman" w:cs="Times New Roman"/>
              </w:rPr>
              <w:t>.1</w:t>
            </w:r>
          </w:p>
        </w:tc>
        <w:tc>
          <w:tcPr>
            <w:tcW w:w="3510" w:type="dxa"/>
          </w:tcPr>
          <w:p w14:paraId="64CBAA3F" w14:textId="7D5871E4" w:rsidR="0065126E" w:rsidRPr="0065126E" w:rsidRDefault="00D461E7" w:rsidP="00FF14A4">
            <w:pPr>
              <w:jc w:val="both"/>
              <w:rPr>
                <w:rFonts w:ascii="Times New Roman" w:hAnsi="Times New Roman" w:cs="Times New Roman"/>
              </w:rPr>
            </w:pPr>
            <w:r>
              <w:rPr>
                <w:rFonts w:ascii="Times New Roman" w:hAnsi="Times New Roman" w:cs="Times New Roman"/>
              </w:rPr>
              <w:t>4</w:t>
            </w:r>
            <w:r w:rsidR="0065126E">
              <w:rPr>
                <w:rFonts w:ascii="Times New Roman" w:hAnsi="Times New Roman" w:cs="Times New Roman"/>
              </w:rPr>
              <w:t xml:space="preserve"> months after contract signing</w:t>
            </w:r>
          </w:p>
        </w:tc>
      </w:tr>
      <w:tr w:rsidR="0065126E" w14:paraId="586280B9" w14:textId="77777777" w:rsidTr="00E357E0">
        <w:trPr>
          <w:jc w:val="center"/>
        </w:trPr>
        <w:tc>
          <w:tcPr>
            <w:tcW w:w="3325" w:type="dxa"/>
          </w:tcPr>
          <w:p w14:paraId="75C3B864" w14:textId="3E164738" w:rsidR="0065126E" w:rsidRPr="0065126E" w:rsidRDefault="0065126E" w:rsidP="00FF14A4">
            <w:pPr>
              <w:jc w:val="both"/>
              <w:rPr>
                <w:rFonts w:ascii="Times New Roman" w:hAnsi="Times New Roman" w:cs="Times New Roman"/>
                <w:b/>
                <w:bCs/>
              </w:rPr>
            </w:pPr>
            <w:r w:rsidRPr="0065126E">
              <w:rPr>
                <w:rFonts w:ascii="Times New Roman" w:hAnsi="Times New Roman" w:cs="Times New Roman"/>
              </w:rPr>
              <w:t xml:space="preserve">Sub-task </w:t>
            </w:r>
            <w:r>
              <w:rPr>
                <w:rFonts w:ascii="Times New Roman" w:hAnsi="Times New Roman" w:cs="Times New Roman"/>
              </w:rPr>
              <w:t>2</w:t>
            </w:r>
            <w:r w:rsidRPr="0065126E">
              <w:rPr>
                <w:rFonts w:ascii="Times New Roman" w:hAnsi="Times New Roman" w:cs="Times New Roman"/>
              </w:rPr>
              <w:t>.</w:t>
            </w:r>
            <w:r>
              <w:rPr>
                <w:rFonts w:ascii="Times New Roman" w:hAnsi="Times New Roman" w:cs="Times New Roman"/>
              </w:rPr>
              <w:t>2</w:t>
            </w:r>
          </w:p>
        </w:tc>
        <w:tc>
          <w:tcPr>
            <w:tcW w:w="3510" w:type="dxa"/>
          </w:tcPr>
          <w:p w14:paraId="7085CEFC" w14:textId="5CF82EB0" w:rsidR="0065126E" w:rsidRPr="0065126E" w:rsidRDefault="00EE40DD" w:rsidP="00FF14A4">
            <w:pPr>
              <w:jc w:val="both"/>
              <w:rPr>
                <w:rFonts w:ascii="Times New Roman" w:hAnsi="Times New Roman" w:cs="Times New Roman"/>
              </w:rPr>
            </w:pPr>
            <w:r>
              <w:rPr>
                <w:rFonts w:ascii="Times New Roman" w:hAnsi="Times New Roman" w:cs="Times New Roman"/>
              </w:rPr>
              <w:t>5</w:t>
            </w:r>
            <w:r w:rsidR="0065126E">
              <w:rPr>
                <w:rFonts w:ascii="Times New Roman" w:hAnsi="Times New Roman" w:cs="Times New Roman"/>
              </w:rPr>
              <w:t xml:space="preserve"> months after contract signing</w:t>
            </w:r>
          </w:p>
        </w:tc>
      </w:tr>
      <w:tr w:rsidR="0065126E" w14:paraId="6B42D885" w14:textId="77777777" w:rsidTr="00E357E0">
        <w:trPr>
          <w:jc w:val="center"/>
        </w:trPr>
        <w:tc>
          <w:tcPr>
            <w:tcW w:w="3325" w:type="dxa"/>
          </w:tcPr>
          <w:p w14:paraId="722E0284" w14:textId="6E9F4C4D" w:rsidR="0065126E" w:rsidRPr="0065126E" w:rsidRDefault="0065126E" w:rsidP="00FF14A4">
            <w:pPr>
              <w:jc w:val="both"/>
              <w:rPr>
                <w:rFonts w:ascii="Times New Roman" w:hAnsi="Times New Roman" w:cs="Times New Roman"/>
                <w:b/>
                <w:bCs/>
              </w:rPr>
            </w:pPr>
            <w:r w:rsidRPr="0065126E">
              <w:rPr>
                <w:rFonts w:ascii="Times New Roman" w:hAnsi="Times New Roman" w:cs="Times New Roman"/>
              </w:rPr>
              <w:t xml:space="preserve">Sub-task </w:t>
            </w:r>
            <w:r>
              <w:rPr>
                <w:rFonts w:ascii="Times New Roman" w:hAnsi="Times New Roman" w:cs="Times New Roman"/>
              </w:rPr>
              <w:t>2</w:t>
            </w:r>
            <w:r w:rsidRPr="0065126E">
              <w:rPr>
                <w:rFonts w:ascii="Times New Roman" w:hAnsi="Times New Roman" w:cs="Times New Roman"/>
              </w:rPr>
              <w:t>.</w:t>
            </w:r>
            <w:r>
              <w:rPr>
                <w:rFonts w:ascii="Times New Roman" w:hAnsi="Times New Roman" w:cs="Times New Roman"/>
              </w:rPr>
              <w:t>3</w:t>
            </w:r>
          </w:p>
        </w:tc>
        <w:tc>
          <w:tcPr>
            <w:tcW w:w="3510" w:type="dxa"/>
          </w:tcPr>
          <w:p w14:paraId="6A236767" w14:textId="59BD4868" w:rsidR="0065126E" w:rsidRPr="0065126E" w:rsidRDefault="00EE40DD" w:rsidP="00FF14A4">
            <w:pPr>
              <w:jc w:val="both"/>
              <w:rPr>
                <w:rFonts w:ascii="Times New Roman" w:hAnsi="Times New Roman" w:cs="Times New Roman"/>
              </w:rPr>
            </w:pPr>
            <w:r>
              <w:rPr>
                <w:rFonts w:ascii="Times New Roman" w:hAnsi="Times New Roman" w:cs="Times New Roman"/>
              </w:rPr>
              <w:t>6</w:t>
            </w:r>
            <w:r w:rsidR="0065126E">
              <w:rPr>
                <w:rFonts w:ascii="Times New Roman" w:hAnsi="Times New Roman" w:cs="Times New Roman"/>
              </w:rPr>
              <w:t xml:space="preserve"> months after contract signing</w:t>
            </w:r>
          </w:p>
        </w:tc>
      </w:tr>
      <w:tr w:rsidR="0065126E" w14:paraId="3A4915C0" w14:textId="77777777" w:rsidTr="00E357E0">
        <w:trPr>
          <w:jc w:val="center"/>
        </w:trPr>
        <w:tc>
          <w:tcPr>
            <w:tcW w:w="3325" w:type="dxa"/>
          </w:tcPr>
          <w:p w14:paraId="0ABB3520" w14:textId="0C16D0B6" w:rsidR="0065126E" w:rsidRPr="0065126E" w:rsidRDefault="0065126E" w:rsidP="00FF14A4">
            <w:pPr>
              <w:jc w:val="both"/>
              <w:rPr>
                <w:rFonts w:ascii="Times New Roman" w:hAnsi="Times New Roman" w:cs="Times New Roman"/>
              </w:rPr>
            </w:pPr>
            <w:r w:rsidRPr="0065126E">
              <w:rPr>
                <w:rFonts w:ascii="Times New Roman" w:hAnsi="Times New Roman" w:cs="Times New Roman"/>
              </w:rPr>
              <w:t xml:space="preserve">Sub-task </w:t>
            </w:r>
            <w:r>
              <w:rPr>
                <w:rFonts w:ascii="Times New Roman" w:hAnsi="Times New Roman" w:cs="Times New Roman"/>
              </w:rPr>
              <w:t>2</w:t>
            </w:r>
            <w:r w:rsidRPr="0065126E">
              <w:rPr>
                <w:rFonts w:ascii="Times New Roman" w:hAnsi="Times New Roman" w:cs="Times New Roman"/>
              </w:rPr>
              <w:t>.</w:t>
            </w:r>
            <w:r>
              <w:rPr>
                <w:rFonts w:ascii="Times New Roman" w:hAnsi="Times New Roman" w:cs="Times New Roman"/>
              </w:rPr>
              <w:t>4</w:t>
            </w:r>
          </w:p>
        </w:tc>
        <w:tc>
          <w:tcPr>
            <w:tcW w:w="3510" w:type="dxa"/>
          </w:tcPr>
          <w:p w14:paraId="4AF1D36F" w14:textId="1A8A2B7C" w:rsidR="0065126E" w:rsidRPr="0065126E" w:rsidRDefault="00EE40DD" w:rsidP="00FF14A4">
            <w:pPr>
              <w:jc w:val="both"/>
              <w:rPr>
                <w:rFonts w:ascii="Times New Roman" w:hAnsi="Times New Roman" w:cs="Times New Roman"/>
              </w:rPr>
            </w:pPr>
            <w:r>
              <w:rPr>
                <w:rFonts w:ascii="Times New Roman" w:hAnsi="Times New Roman" w:cs="Times New Roman"/>
              </w:rPr>
              <w:t>7</w:t>
            </w:r>
            <w:r w:rsidR="0065126E">
              <w:rPr>
                <w:rFonts w:ascii="Times New Roman" w:hAnsi="Times New Roman" w:cs="Times New Roman"/>
              </w:rPr>
              <w:t xml:space="preserve"> months after contract signing</w:t>
            </w:r>
          </w:p>
        </w:tc>
      </w:tr>
      <w:tr w:rsidR="00E845F6" w14:paraId="7D2BE85A" w14:textId="77777777" w:rsidTr="00E357E0">
        <w:trPr>
          <w:jc w:val="center"/>
        </w:trPr>
        <w:tc>
          <w:tcPr>
            <w:tcW w:w="3325" w:type="dxa"/>
          </w:tcPr>
          <w:p w14:paraId="352AF528" w14:textId="2FE142D7" w:rsidR="00E845F6" w:rsidRPr="0065126E" w:rsidRDefault="00E845F6" w:rsidP="00FF14A4">
            <w:pPr>
              <w:jc w:val="both"/>
              <w:rPr>
                <w:rFonts w:ascii="Times New Roman" w:hAnsi="Times New Roman" w:cs="Times New Roman"/>
              </w:rPr>
            </w:pPr>
            <w:r>
              <w:rPr>
                <w:rFonts w:ascii="Times New Roman" w:hAnsi="Times New Roman" w:cs="Times New Roman"/>
              </w:rPr>
              <w:t>Sub-task 2.5</w:t>
            </w:r>
          </w:p>
        </w:tc>
        <w:tc>
          <w:tcPr>
            <w:tcW w:w="3510" w:type="dxa"/>
          </w:tcPr>
          <w:p w14:paraId="4C0BD65F" w14:textId="67839F34" w:rsidR="00E845F6" w:rsidRDefault="00D461E7" w:rsidP="00FF14A4">
            <w:pPr>
              <w:jc w:val="both"/>
              <w:rPr>
                <w:rFonts w:ascii="Times New Roman" w:hAnsi="Times New Roman" w:cs="Times New Roman"/>
              </w:rPr>
            </w:pPr>
            <w:r>
              <w:rPr>
                <w:rFonts w:ascii="Times New Roman" w:hAnsi="Times New Roman" w:cs="Times New Roman"/>
              </w:rPr>
              <w:t>8 months after contract signing</w:t>
            </w:r>
          </w:p>
        </w:tc>
      </w:tr>
      <w:tr w:rsidR="00232B60" w14:paraId="29B7D0A8" w14:textId="77777777" w:rsidTr="00E357E0">
        <w:trPr>
          <w:jc w:val="center"/>
        </w:trPr>
        <w:tc>
          <w:tcPr>
            <w:tcW w:w="3325" w:type="dxa"/>
          </w:tcPr>
          <w:p w14:paraId="2936E0AB" w14:textId="6AE4F4A7" w:rsidR="00232B60" w:rsidRDefault="00232B60" w:rsidP="00232B60">
            <w:pPr>
              <w:jc w:val="both"/>
              <w:rPr>
                <w:rFonts w:ascii="Times New Roman" w:hAnsi="Times New Roman" w:cs="Times New Roman"/>
              </w:rPr>
            </w:pPr>
            <w:r>
              <w:rPr>
                <w:rFonts w:ascii="Times New Roman" w:hAnsi="Times New Roman" w:cs="Times New Roman"/>
              </w:rPr>
              <w:t>Task 3</w:t>
            </w:r>
          </w:p>
        </w:tc>
        <w:tc>
          <w:tcPr>
            <w:tcW w:w="3510" w:type="dxa"/>
          </w:tcPr>
          <w:p w14:paraId="3955C01C" w14:textId="5BF3CECB" w:rsidR="00232B60" w:rsidRDefault="00232B60" w:rsidP="00232B60">
            <w:pPr>
              <w:jc w:val="both"/>
              <w:rPr>
                <w:rFonts w:ascii="Times New Roman" w:hAnsi="Times New Roman" w:cs="Times New Roman"/>
              </w:rPr>
            </w:pPr>
            <w:r>
              <w:rPr>
                <w:rFonts w:ascii="Times New Roman" w:hAnsi="Times New Roman" w:cs="Times New Roman"/>
              </w:rPr>
              <w:t>7 months after contract signing</w:t>
            </w:r>
          </w:p>
        </w:tc>
      </w:tr>
      <w:tr w:rsidR="00232B60" w14:paraId="79FDC518" w14:textId="77777777" w:rsidTr="00E357E0">
        <w:trPr>
          <w:jc w:val="center"/>
        </w:trPr>
        <w:tc>
          <w:tcPr>
            <w:tcW w:w="3325" w:type="dxa"/>
            <w:shd w:val="clear" w:color="auto" w:fill="DAE9F7" w:themeFill="text2" w:themeFillTint="1A"/>
          </w:tcPr>
          <w:p w14:paraId="053601C6" w14:textId="6F50A042" w:rsidR="00232B60" w:rsidRPr="00485E31" w:rsidRDefault="00232B60" w:rsidP="00232B60">
            <w:pPr>
              <w:rPr>
                <w:rFonts w:ascii="Times New Roman" w:hAnsi="Times New Roman" w:cs="Times New Roman"/>
                <w:b/>
                <w:bCs/>
              </w:rPr>
            </w:pPr>
            <w:r>
              <w:rPr>
                <w:rFonts w:ascii="Times New Roman" w:hAnsi="Times New Roman" w:cs="Times New Roman"/>
                <w:b/>
                <w:bCs/>
              </w:rPr>
              <w:t xml:space="preserve">Validation Workshop </w:t>
            </w:r>
            <w:r>
              <w:rPr>
                <w:rFonts w:ascii="Times New Roman" w:hAnsi="Times New Roman" w:cs="Times New Roman"/>
                <w:b/>
                <w:bCs/>
              </w:rPr>
              <w:br/>
              <w:t xml:space="preserve">and </w:t>
            </w:r>
            <w:r w:rsidRPr="00485E31">
              <w:rPr>
                <w:rFonts w:ascii="Times New Roman" w:hAnsi="Times New Roman" w:cs="Times New Roman"/>
                <w:b/>
                <w:bCs/>
              </w:rPr>
              <w:t>Final Report</w:t>
            </w:r>
          </w:p>
        </w:tc>
        <w:tc>
          <w:tcPr>
            <w:tcW w:w="3510" w:type="dxa"/>
            <w:shd w:val="clear" w:color="auto" w:fill="DAE9F7" w:themeFill="text2" w:themeFillTint="1A"/>
            <w:vAlign w:val="center"/>
          </w:tcPr>
          <w:p w14:paraId="03EEC4BA" w14:textId="1A6FAC6C" w:rsidR="00232B60" w:rsidRPr="00485E31" w:rsidRDefault="00232B60" w:rsidP="00232B60">
            <w:pPr>
              <w:rPr>
                <w:rFonts w:ascii="Times New Roman" w:hAnsi="Times New Roman" w:cs="Times New Roman"/>
                <w:b/>
                <w:bCs/>
              </w:rPr>
            </w:pPr>
            <w:r>
              <w:rPr>
                <w:rFonts w:ascii="Times New Roman" w:hAnsi="Times New Roman" w:cs="Times New Roman"/>
                <w:b/>
                <w:bCs/>
              </w:rPr>
              <w:t>9</w:t>
            </w:r>
            <w:r w:rsidRPr="00485E31">
              <w:rPr>
                <w:rFonts w:ascii="Times New Roman" w:hAnsi="Times New Roman" w:cs="Times New Roman"/>
                <w:b/>
                <w:bCs/>
              </w:rPr>
              <w:t xml:space="preserve"> months after contract signing</w:t>
            </w:r>
          </w:p>
        </w:tc>
      </w:tr>
    </w:tbl>
    <w:p w14:paraId="1658FC1E" w14:textId="77777777" w:rsidR="00A41FC3" w:rsidRDefault="00A41FC3" w:rsidP="00FF14A4">
      <w:pPr>
        <w:jc w:val="both"/>
        <w:rPr>
          <w:rFonts w:ascii="Times New Roman" w:hAnsi="Times New Roman" w:cs="Times New Roman"/>
          <w:sz w:val="24"/>
          <w:szCs w:val="24"/>
        </w:rPr>
      </w:pPr>
    </w:p>
    <w:p w14:paraId="1277E8CF" w14:textId="617A4D9D" w:rsidR="0095514B" w:rsidRDefault="0095514B" w:rsidP="00FF14A4">
      <w:pPr>
        <w:jc w:val="both"/>
        <w:rPr>
          <w:rFonts w:ascii="Times New Roman" w:hAnsi="Times New Roman" w:cs="Times New Roman"/>
          <w:sz w:val="24"/>
          <w:szCs w:val="24"/>
        </w:rPr>
      </w:pPr>
      <w:r>
        <w:rPr>
          <w:rFonts w:ascii="Times New Roman" w:hAnsi="Times New Roman" w:cs="Times New Roman"/>
          <w:sz w:val="24"/>
          <w:szCs w:val="24"/>
        </w:rPr>
        <w:t xml:space="preserve">In addition to the above milestones, the Consultant will be expected to provide progress and interim updates with AYGM </w:t>
      </w:r>
      <w:proofErr w:type="gramStart"/>
      <w:r>
        <w:rPr>
          <w:rFonts w:ascii="Times New Roman" w:hAnsi="Times New Roman" w:cs="Times New Roman"/>
          <w:sz w:val="24"/>
          <w:szCs w:val="24"/>
        </w:rPr>
        <w:t>on a monthly basis</w:t>
      </w:r>
      <w:proofErr w:type="gramEnd"/>
      <w:r>
        <w:rPr>
          <w:rFonts w:ascii="Times New Roman" w:hAnsi="Times New Roman" w:cs="Times New Roman"/>
          <w:sz w:val="24"/>
          <w:szCs w:val="24"/>
        </w:rPr>
        <w:t>, or more frequently as it may be warranted. World Bank staff may join these update meetings as needed.</w:t>
      </w:r>
    </w:p>
    <w:p w14:paraId="3A19C16B" w14:textId="7B51F6D9" w:rsidR="00012556" w:rsidRDefault="00012556" w:rsidP="00FF14A4">
      <w:pPr>
        <w:jc w:val="both"/>
        <w:rPr>
          <w:rFonts w:ascii="Times New Roman" w:hAnsi="Times New Roman" w:cs="Times New Roman"/>
          <w:sz w:val="24"/>
          <w:szCs w:val="24"/>
        </w:rPr>
      </w:pPr>
      <w:r>
        <w:rPr>
          <w:rFonts w:ascii="Times New Roman" w:hAnsi="Times New Roman" w:cs="Times New Roman"/>
          <w:sz w:val="24"/>
          <w:szCs w:val="24"/>
        </w:rPr>
        <w:t xml:space="preserve">At the end of the assignment, all approved sub-tasks will be consolidated into a single </w:t>
      </w:r>
      <w:r w:rsidR="003B1BA1" w:rsidRPr="00873336">
        <w:rPr>
          <w:rFonts w:ascii="Times New Roman" w:hAnsi="Times New Roman" w:cs="Times New Roman"/>
          <w:b/>
          <w:bCs/>
          <w:sz w:val="24"/>
          <w:szCs w:val="24"/>
        </w:rPr>
        <w:t xml:space="preserve">draft </w:t>
      </w:r>
      <w:r w:rsidRPr="00873336">
        <w:rPr>
          <w:rFonts w:ascii="Times New Roman" w:hAnsi="Times New Roman" w:cs="Times New Roman"/>
          <w:b/>
          <w:bCs/>
          <w:sz w:val="24"/>
          <w:szCs w:val="24"/>
        </w:rPr>
        <w:t>Final Report</w:t>
      </w:r>
      <w:r w:rsidR="003B1BA1">
        <w:rPr>
          <w:rFonts w:ascii="Times New Roman" w:hAnsi="Times New Roman" w:cs="Times New Roman"/>
          <w:sz w:val="24"/>
          <w:szCs w:val="24"/>
        </w:rPr>
        <w:t xml:space="preserve">, which the </w:t>
      </w:r>
      <w:r w:rsidR="00873336">
        <w:rPr>
          <w:rFonts w:ascii="Times New Roman" w:hAnsi="Times New Roman" w:cs="Times New Roman"/>
          <w:sz w:val="24"/>
          <w:szCs w:val="24"/>
        </w:rPr>
        <w:t>C</w:t>
      </w:r>
      <w:r w:rsidR="003B1BA1">
        <w:rPr>
          <w:rFonts w:ascii="Times New Roman" w:hAnsi="Times New Roman" w:cs="Times New Roman"/>
          <w:sz w:val="24"/>
          <w:szCs w:val="24"/>
        </w:rPr>
        <w:t xml:space="preserve">onsultant will validate by organizing a workshop in Ankara with key private and public sector stakeholders and development partners to discuss findings, </w:t>
      </w:r>
      <w:r w:rsidR="003B1BA1" w:rsidRPr="003B1BA1">
        <w:rPr>
          <w:rFonts w:ascii="Times New Roman" w:hAnsi="Times New Roman" w:cs="Times New Roman"/>
          <w:sz w:val="24"/>
          <w:szCs w:val="24"/>
        </w:rPr>
        <w:t>test the relevance and feasibility of key recommendations</w:t>
      </w:r>
      <w:r w:rsidR="003B1BA1">
        <w:rPr>
          <w:rFonts w:ascii="Times New Roman" w:hAnsi="Times New Roman" w:cs="Times New Roman"/>
          <w:sz w:val="24"/>
          <w:szCs w:val="24"/>
        </w:rPr>
        <w:t>,</w:t>
      </w:r>
      <w:r w:rsidR="003B1BA1" w:rsidRPr="003B1BA1">
        <w:rPr>
          <w:rFonts w:ascii="Times New Roman" w:hAnsi="Times New Roman" w:cs="Times New Roman"/>
          <w:sz w:val="24"/>
          <w:szCs w:val="24"/>
        </w:rPr>
        <w:t xml:space="preserve"> and build stakeholder ownership</w:t>
      </w:r>
      <w:r w:rsidR="00A552AD">
        <w:rPr>
          <w:rFonts w:ascii="Times New Roman" w:hAnsi="Times New Roman" w:cs="Times New Roman"/>
          <w:sz w:val="24"/>
          <w:szCs w:val="24"/>
        </w:rPr>
        <w:t>.</w:t>
      </w:r>
      <w:r w:rsidR="003B1BA1">
        <w:rPr>
          <w:rFonts w:ascii="Times New Roman" w:hAnsi="Times New Roman" w:cs="Times New Roman"/>
          <w:sz w:val="24"/>
          <w:szCs w:val="24"/>
        </w:rPr>
        <w:t xml:space="preserve"> Feedback from the </w:t>
      </w:r>
      <w:r w:rsidR="003B1BA1" w:rsidRPr="00873336">
        <w:rPr>
          <w:rFonts w:ascii="Times New Roman" w:hAnsi="Times New Roman" w:cs="Times New Roman"/>
          <w:b/>
          <w:bCs/>
          <w:sz w:val="24"/>
          <w:szCs w:val="24"/>
        </w:rPr>
        <w:t>Validation Workshop</w:t>
      </w:r>
      <w:r w:rsidR="003B1BA1">
        <w:rPr>
          <w:rFonts w:ascii="Times New Roman" w:hAnsi="Times New Roman" w:cs="Times New Roman"/>
          <w:sz w:val="24"/>
          <w:szCs w:val="24"/>
        </w:rPr>
        <w:t xml:space="preserve"> will be incorporated into the Final Report before submission.</w:t>
      </w:r>
      <w:r w:rsidR="00873336">
        <w:rPr>
          <w:rFonts w:ascii="Times New Roman" w:hAnsi="Times New Roman" w:cs="Times New Roman"/>
          <w:sz w:val="24"/>
          <w:szCs w:val="24"/>
        </w:rPr>
        <w:t xml:space="preserve"> In incorporating this feedback, the Consultant will e</w:t>
      </w:r>
      <w:r w:rsidR="00873336" w:rsidRPr="00873336">
        <w:rPr>
          <w:rFonts w:ascii="Times New Roman" w:hAnsi="Times New Roman" w:cs="Times New Roman"/>
          <w:sz w:val="24"/>
          <w:szCs w:val="24"/>
        </w:rPr>
        <w:t>xplicitly document the areas of consensus and divergence among stakeholders and reflect</w:t>
      </w:r>
      <w:r w:rsidR="00873336">
        <w:rPr>
          <w:rFonts w:ascii="Times New Roman" w:hAnsi="Times New Roman" w:cs="Times New Roman"/>
          <w:sz w:val="24"/>
          <w:szCs w:val="24"/>
        </w:rPr>
        <w:t xml:space="preserve"> same</w:t>
      </w:r>
      <w:r w:rsidR="00873336" w:rsidRPr="00873336">
        <w:rPr>
          <w:rFonts w:ascii="Times New Roman" w:hAnsi="Times New Roman" w:cs="Times New Roman"/>
          <w:sz w:val="24"/>
          <w:szCs w:val="24"/>
        </w:rPr>
        <w:t xml:space="preserve"> in the </w:t>
      </w:r>
      <w:r w:rsidR="00873336">
        <w:rPr>
          <w:rFonts w:ascii="Times New Roman" w:hAnsi="Times New Roman" w:cs="Times New Roman"/>
          <w:sz w:val="24"/>
          <w:szCs w:val="24"/>
        </w:rPr>
        <w:t>report</w:t>
      </w:r>
      <w:r w:rsidR="00873336" w:rsidRPr="00873336">
        <w:rPr>
          <w:rFonts w:ascii="Times New Roman" w:hAnsi="Times New Roman" w:cs="Times New Roman"/>
          <w:sz w:val="24"/>
          <w:szCs w:val="24"/>
        </w:rPr>
        <w:t>, indicating how tradeoffs and competing interests have been considered</w:t>
      </w:r>
      <w:r w:rsidR="00873336">
        <w:rPr>
          <w:rFonts w:ascii="Times New Roman" w:hAnsi="Times New Roman" w:cs="Times New Roman"/>
          <w:sz w:val="24"/>
          <w:szCs w:val="24"/>
        </w:rPr>
        <w:t>.</w:t>
      </w:r>
    </w:p>
    <w:p w14:paraId="3A19BECC" w14:textId="6977BEBD" w:rsidR="0065126E" w:rsidRDefault="0065126E" w:rsidP="00FF14A4">
      <w:pPr>
        <w:jc w:val="both"/>
        <w:rPr>
          <w:rFonts w:ascii="Times New Roman" w:hAnsi="Times New Roman" w:cs="Times New Roman"/>
          <w:sz w:val="24"/>
          <w:szCs w:val="24"/>
        </w:rPr>
      </w:pPr>
      <w:r>
        <w:rPr>
          <w:rFonts w:ascii="Times New Roman" w:hAnsi="Times New Roman" w:cs="Times New Roman"/>
          <w:sz w:val="24"/>
          <w:szCs w:val="24"/>
        </w:rPr>
        <w:t xml:space="preserve">All </w:t>
      </w:r>
      <w:r w:rsidR="00012556">
        <w:rPr>
          <w:rFonts w:ascii="Times New Roman" w:hAnsi="Times New Roman" w:cs="Times New Roman"/>
          <w:sz w:val="24"/>
          <w:szCs w:val="24"/>
        </w:rPr>
        <w:t xml:space="preserve">sub-task </w:t>
      </w:r>
      <w:r>
        <w:rPr>
          <w:rFonts w:ascii="Times New Roman" w:hAnsi="Times New Roman" w:cs="Times New Roman"/>
          <w:sz w:val="24"/>
          <w:szCs w:val="24"/>
        </w:rPr>
        <w:t xml:space="preserve">deliverables </w:t>
      </w:r>
      <w:r w:rsidR="00012556">
        <w:rPr>
          <w:rFonts w:ascii="Times New Roman" w:hAnsi="Times New Roman" w:cs="Times New Roman"/>
          <w:sz w:val="24"/>
          <w:szCs w:val="24"/>
        </w:rPr>
        <w:t xml:space="preserve">and Final Report </w:t>
      </w:r>
      <w:r>
        <w:rPr>
          <w:rFonts w:ascii="Times New Roman" w:hAnsi="Times New Roman" w:cs="Times New Roman"/>
          <w:sz w:val="24"/>
          <w:szCs w:val="24"/>
        </w:rPr>
        <w:t xml:space="preserve">will be </w:t>
      </w:r>
      <w:r w:rsidR="000E4BDE">
        <w:rPr>
          <w:rFonts w:ascii="Times New Roman" w:hAnsi="Times New Roman" w:cs="Times New Roman"/>
          <w:sz w:val="24"/>
          <w:szCs w:val="24"/>
        </w:rPr>
        <w:t xml:space="preserve">submitted, in English and Turkish, </w:t>
      </w:r>
      <w:r>
        <w:rPr>
          <w:rFonts w:ascii="Times New Roman" w:hAnsi="Times New Roman" w:cs="Times New Roman"/>
          <w:sz w:val="24"/>
          <w:szCs w:val="24"/>
        </w:rPr>
        <w:t>in native MS Word format and be accompanied by a summary PowerPoint presentation in native format. The raw data of all quantitative assessments, including all benchmarking</w:t>
      </w:r>
      <w:r w:rsidR="00EA0819">
        <w:rPr>
          <w:rFonts w:ascii="Times New Roman" w:hAnsi="Times New Roman" w:cs="Times New Roman"/>
          <w:sz w:val="24"/>
          <w:szCs w:val="24"/>
        </w:rPr>
        <w:t xml:space="preserve"> and spreadsheets models</w:t>
      </w:r>
      <w:r>
        <w:rPr>
          <w:rFonts w:ascii="Times New Roman" w:hAnsi="Times New Roman" w:cs="Times New Roman"/>
          <w:sz w:val="24"/>
          <w:szCs w:val="24"/>
        </w:rPr>
        <w:t xml:space="preserve">, under both tasks, will be delivered separately in MS Excel format.  </w:t>
      </w:r>
    </w:p>
    <w:p w14:paraId="0533DD04" w14:textId="73B9E544" w:rsidR="0065126E" w:rsidRDefault="0065126E" w:rsidP="00FF14A4">
      <w:pPr>
        <w:jc w:val="both"/>
        <w:rPr>
          <w:rFonts w:ascii="Times New Roman" w:hAnsi="Times New Roman" w:cs="Times New Roman"/>
          <w:sz w:val="24"/>
          <w:szCs w:val="24"/>
        </w:rPr>
      </w:pPr>
      <w:r>
        <w:rPr>
          <w:rFonts w:ascii="Times New Roman" w:hAnsi="Times New Roman" w:cs="Times New Roman"/>
          <w:sz w:val="24"/>
          <w:szCs w:val="24"/>
        </w:rPr>
        <w:t xml:space="preserve">For all </w:t>
      </w:r>
      <w:r w:rsidR="003B1BA1">
        <w:rPr>
          <w:rFonts w:ascii="Times New Roman" w:hAnsi="Times New Roman" w:cs="Times New Roman"/>
          <w:sz w:val="24"/>
          <w:szCs w:val="24"/>
        </w:rPr>
        <w:t xml:space="preserve">sub-task </w:t>
      </w:r>
      <w:r>
        <w:rPr>
          <w:rFonts w:ascii="Times New Roman" w:hAnsi="Times New Roman" w:cs="Times New Roman"/>
          <w:sz w:val="24"/>
          <w:szCs w:val="24"/>
        </w:rPr>
        <w:t>deliverables, comments by AYGM</w:t>
      </w:r>
      <w:r w:rsidR="00012556">
        <w:rPr>
          <w:rFonts w:ascii="Times New Roman" w:hAnsi="Times New Roman" w:cs="Times New Roman"/>
          <w:sz w:val="24"/>
          <w:szCs w:val="24"/>
        </w:rPr>
        <w:t xml:space="preserve">, other </w:t>
      </w:r>
      <w:proofErr w:type="spellStart"/>
      <w:r w:rsidR="00012556">
        <w:rPr>
          <w:rFonts w:ascii="Times New Roman" w:hAnsi="Times New Roman" w:cs="Times New Roman"/>
          <w:sz w:val="24"/>
          <w:szCs w:val="24"/>
        </w:rPr>
        <w:t>MoTI</w:t>
      </w:r>
      <w:proofErr w:type="spellEnd"/>
      <w:r w:rsidR="00012556">
        <w:rPr>
          <w:rFonts w:ascii="Times New Roman" w:hAnsi="Times New Roman" w:cs="Times New Roman"/>
          <w:sz w:val="24"/>
          <w:szCs w:val="24"/>
        </w:rPr>
        <w:t xml:space="preserve"> subagencies as relevant (such as TCDD), and the World Bank</w:t>
      </w:r>
      <w:r>
        <w:rPr>
          <w:rFonts w:ascii="Times New Roman" w:hAnsi="Times New Roman" w:cs="Times New Roman"/>
          <w:sz w:val="24"/>
          <w:szCs w:val="24"/>
        </w:rPr>
        <w:t xml:space="preserve"> will be submitted to the Consultant within </w:t>
      </w:r>
      <w:r w:rsidR="00012556">
        <w:rPr>
          <w:rFonts w:ascii="Times New Roman" w:hAnsi="Times New Roman" w:cs="Times New Roman"/>
          <w:sz w:val="24"/>
          <w:szCs w:val="24"/>
        </w:rPr>
        <w:t>2</w:t>
      </w:r>
      <w:r>
        <w:rPr>
          <w:rFonts w:ascii="Times New Roman" w:hAnsi="Times New Roman" w:cs="Times New Roman"/>
          <w:sz w:val="24"/>
          <w:szCs w:val="24"/>
        </w:rPr>
        <w:t xml:space="preserve"> weeks </w:t>
      </w:r>
      <w:r w:rsidR="00012556">
        <w:rPr>
          <w:rFonts w:ascii="Times New Roman" w:hAnsi="Times New Roman" w:cs="Times New Roman"/>
          <w:sz w:val="24"/>
          <w:szCs w:val="24"/>
        </w:rPr>
        <w:t>of</w:t>
      </w:r>
      <w:r>
        <w:rPr>
          <w:rFonts w:ascii="Times New Roman" w:hAnsi="Times New Roman" w:cs="Times New Roman"/>
          <w:sz w:val="24"/>
          <w:szCs w:val="24"/>
        </w:rPr>
        <w:t xml:space="preserve"> first submission (see first submission due dates above) and will be expected to be completed by the Consultant as final, incorporating as much as possible all comments received, 2 weeks after receiving them. As a result, all deliverables will be expected to be completed as final 1 month after first submission. </w:t>
      </w:r>
    </w:p>
    <w:p w14:paraId="164F0814" w14:textId="45BC9F36" w:rsidR="0065126E" w:rsidRDefault="0065126E" w:rsidP="00FF14A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total duration of the assignment, including revisions, will be </w:t>
      </w:r>
      <w:r w:rsidR="00D461E7">
        <w:rPr>
          <w:rFonts w:ascii="Times New Roman" w:hAnsi="Times New Roman" w:cs="Times New Roman"/>
          <w:sz w:val="24"/>
          <w:szCs w:val="24"/>
        </w:rPr>
        <w:t>9</w:t>
      </w:r>
      <w:r>
        <w:rPr>
          <w:rFonts w:ascii="Times New Roman" w:hAnsi="Times New Roman" w:cs="Times New Roman"/>
          <w:sz w:val="24"/>
          <w:szCs w:val="24"/>
        </w:rPr>
        <w:t xml:space="preserve"> months.   </w:t>
      </w:r>
    </w:p>
    <w:p w14:paraId="5213C4FC" w14:textId="20DC57A2" w:rsidR="0065126E" w:rsidRPr="00EE40DD" w:rsidRDefault="00EE40DD" w:rsidP="00FF14A4">
      <w:pPr>
        <w:jc w:val="both"/>
        <w:rPr>
          <w:rFonts w:ascii="Times New Roman" w:hAnsi="Times New Roman" w:cs="Times New Roman"/>
          <w:b/>
          <w:bCs/>
          <w:sz w:val="24"/>
          <w:szCs w:val="24"/>
        </w:rPr>
      </w:pPr>
      <w:r w:rsidRPr="00EE40DD">
        <w:rPr>
          <w:rFonts w:ascii="Times New Roman" w:hAnsi="Times New Roman" w:cs="Times New Roman"/>
          <w:b/>
          <w:bCs/>
          <w:sz w:val="24"/>
          <w:szCs w:val="24"/>
        </w:rPr>
        <w:t>Team Composition</w:t>
      </w:r>
    </w:p>
    <w:p w14:paraId="378D29ED" w14:textId="42A995B4" w:rsidR="002E43EA" w:rsidRPr="002E43EA" w:rsidRDefault="0095514B" w:rsidP="00FF14A4">
      <w:pPr>
        <w:jc w:val="both"/>
        <w:rPr>
          <w:rFonts w:ascii="Times New Roman" w:hAnsi="Times New Roman" w:cs="Times New Roman"/>
          <w:sz w:val="24"/>
          <w:szCs w:val="24"/>
        </w:rPr>
      </w:pPr>
      <w:r>
        <w:rPr>
          <w:rFonts w:ascii="Times New Roman" w:hAnsi="Times New Roman" w:cs="Times New Roman"/>
          <w:sz w:val="24"/>
          <w:szCs w:val="24"/>
        </w:rPr>
        <w:t>The</w:t>
      </w:r>
      <w:r w:rsidR="002E43EA">
        <w:rPr>
          <w:rFonts w:ascii="Times New Roman" w:hAnsi="Times New Roman" w:cs="Times New Roman"/>
          <w:sz w:val="24"/>
          <w:szCs w:val="24"/>
        </w:rPr>
        <w:t xml:space="preserve"> Consultant </w:t>
      </w:r>
      <w:r>
        <w:rPr>
          <w:rFonts w:ascii="Times New Roman" w:hAnsi="Times New Roman" w:cs="Times New Roman"/>
          <w:sz w:val="24"/>
          <w:szCs w:val="24"/>
        </w:rPr>
        <w:t xml:space="preserve">will be expected to mobilize a </w:t>
      </w:r>
      <w:r w:rsidR="002E43EA">
        <w:rPr>
          <w:rFonts w:ascii="Times New Roman" w:hAnsi="Times New Roman" w:cs="Times New Roman"/>
          <w:sz w:val="24"/>
          <w:szCs w:val="24"/>
        </w:rPr>
        <w:t xml:space="preserve">team that includes </w:t>
      </w:r>
      <w:r w:rsidR="002E43EA" w:rsidRPr="00012556">
        <w:rPr>
          <w:rFonts w:ascii="Times New Roman" w:hAnsi="Times New Roman" w:cs="Times New Roman"/>
          <w:i/>
          <w:iCs/>
          <w:sz w:val="24"/>
          <w:szCs w:val="24"/>
        </w:rPr>
        <w:t>at least</w:t>
      </w:r>
      <w:r w:rsidR="002E43EA">
        <w:rPr>
          <w:rFonts w:ascii="Times New Roman" w:hAnsi="Times New Roman" w:cs="Times New Roman"/>
          <w:sz w:val="24"/>
          <w:szCs w:val="24"/>
        </w:rPr>
        <w:t xml:space="preserve"> the following </w:t>
      </w:r>
      <w:r w:rsidR="00D461E7">
        <w:rPr>
          <w:rFonts w:ascii="Times New Roman" w:hAnsi="Times New Roman" w:cs="Times New Roman"/>
          <w:sz w:val="24"/>
          <w:szCs w:val="24"/>
        </w:rPr>
        <w:t>7</w:t>
      </w:r>
      <w:r w:rsidR="002E43EA">
        <w:rPr>
          <w:rFonts w:ascii="Times New Roman" w:hAnsi="Times New Roman" w:cs="Times New Roman"/>
          <w:sz w:val="24"/>
          <w:szCs w:val="24"/>
        </w:rPr>
        <w:t xml:space="preserve"> </w:t>
      </w:r>
      <w:r w:rsidR="00012556" w:rsidRPr="00D461E7">
        <w:rPr>
          <w:rFonts w:ascii="Times New Roman" w:hAnsi="Times New Roman" w:cs="Times New Roman"/>
          <w:i/>
          <w:iCs/>
          <w:sz w:val="24"/>
          <w:szCs w:val="24"/>
        </w:rPr>
        <w:t>Key Expert</w:t>
      </w:r>
      <w:r w:rsidR="00012556">
        <w:rPr>
          <w:rFonts w:ascii="Times New Roman" w:hAnsi="Times New Roman" w:cs="Times New Roman"/>
          <w:sz w:val="24"/>
          <w:szCs w:val="24"/>
        </w:rPr>
        <w:t xml:space="preserve"> roles</w:t>
      </w:r>
      <w:r w:rsidR="002E43EA">
        <w:rPr>
          <w:rFonts w:ascii="Times New Roman" w:hAnsi="Times New Roman" w:cs="Times New Roman"/>
          <w:sz w:val="24"/>
          <w:szCs w:val="24"/>
        </w:rPr>
        <w:t>:</w:t>
      </w:r>
    </w:p>
    <w:p w14:paraId="14E3C358" w14:textId="77777777" w:rsidR="0095514B" w:rsidRDefault="00EE40DD" w:rsidP="0095514B">
      <w:pPr>
        <w:pStyle w:val="ListeParagraf"/>
        <w:numPr>
          <w:ilvl w:val="0"/>
          <w:numId w:val="7"/>
        </w:numPr>
        <w:spacing w:after="120"/>
        <w:ind w:left="360"/>
        <w:contextualSpacing w:val="0"/>
        <w:jc w:val="both"/>
        <w:rPr>
          <w:rFonts w:ascii="Times New Roman" w:hAnsi="Times New Roman" w:cs="Times New Roman"/>
          <w:sz w:val="24"/>
          <w:szCs w:val="24"/>
        </w:rPr>
      </w:pPr>
      <w:r w:rsidRPr="0095514B">
        <w:rPr>
          <w:rFonts w:ascii="Times New Roman" w:hAnsi="Times New Roman" w:cs="Times New Roman"/>
          <w:b/>
          <w:bCs/>
          <w:sz w:val="24"/>
          <w:szCs w:val="24"/>
        </w:rPr>
        <w:t xml:space="preserve">Team Leader and Senior Logistics Expert. </w:t>
      </w:r>
      <w:r w:rsidRPr="0095514B">
        <w:rPr>
          <w:rFonts w:ascii="Times New Roman" w:hAnsi="Times New Roman" w:cs="Times New Roman"/>
          <w:sz w:val="24"/>
          <w:szCs w:val="24"/>
        </w:rPr>
        <w:t>The Team Leader and Senior Logistics Expert should have at least 15 years of experience in the logistics industry and/or in consulting, banking, advisory or related fields with assignments in logistics that are similar or highly relevant to this assignment.  The Team Leader’s experience must include multimodal logistics</w:t>
      </w:r>
      <w:r w:rsidR="002E43EA" w:rsidRPr="0095514B">
        <w:rPr>
          <w:rFonts w:ascii="Times New Roman" w:hAnsi="Times New Roman" w:cs="Times New Roman"/>
          <w:sz w:val="24"/>
          <w:szCs w:val="24"/>
        </w:rPr>
        <w:t>, rail freight,</w:t>
      </w:r>
      <w:r w:rsidRPr="0095514B">
        <w:rPr>
          <w:rFonts w:ascii="Times New Roman" w:hAnsi="Times New Roman" w:cs="Times New Roman"/>
          <w:sz w:val="24"/>
          <w:szCs w:val="24"/>
        </w:rPr>
        <w:t xml:space="preserve"> and logistics clusters.</w:t>
      </w:r>
      <w:r w:rsidR="002E43EA" w:rsidRPr="0095514B">
        <w:rPr>
          <w:rFonts w:ascii="Times New Roman" w:hAnsi="Times New Roman" w:cs="Times New Roman"/>
          <w:sz w:val="24"/>
          <w:szCs w:val="24"/>
        </w:rPr>
        <w:t xml:space="preserve"> Prior experience in Türkiye is a requirement for this role.</w:t>
      </w:r>
    </w:p>
    <w:p w14:paraId="52579D7E" w14:textId="77777777" w:rsidR="0095514B" w:rsidRDefault="00EE40DD" w:rsidP="0095514B">
      <w:pPr>
        <w:pStyle w:val="ListeParagraf"/>
        <w:numPr>
          <w:ilvl w:val="0"/>
          <w:numId w:val="7"/>
        </w:numPr>
        <w:spacing w:after="120"/>
        <w:ind w:left="360"/>
        <w:contextualSpacing w:val="0"/>
        <w:jc w:val="both"/>
        <w:rPr>
          <w:rFonts w:ascii="Times New Roman" w:hAnsi="Times New Roman" w:cs="Times New Roman"/>
          <w:sz w:val="24"/>
          <w:szCs w:val="24"/>
        </w:rPr>
      </w:pPr>
      <w:r w:rsidRPr="0095514B">
        <w:rPr>
          <w:rFonts w:ascii="Times New Roman" w:hAnsi="Times New Roman" w:cs="Times New Roman"/>
          <w:b/>
          <w:bCs/>
          <w:sz w:val="24"/>
          <w:szCs w:val="24"/>
        </w:rPr>
        <w:t>Rail Intermodal and Rail Freight Operations Expert.</w:t>
      </w:r>
      <w:r w:rsidRPr="0095514B">
        <w:rPr>
          <w:rFonts w:ascii="Times New Roman" w:hAnsi="Times New Roman" w:cs="Times New Roman"/>
          <w:sz w:val="24"/>
          <w:szCs w:val="24"/>
        </w:rPr>
        <w:t xml:space="preserve"> This operational expert should have at least </w:t>
      </w:r>
      <w:r w:rsidR="00012556" w:rsidRPr="0095514B">
        <w:rPr>
          <w:rFonts w:ascii="Times New Roman" w:hAnsi="Times New Roman" w:cs="Times New Roman"/>
          <w:sz w:val="24"/>
          <w:szCs w:val="24"/>
        </w:rPr>
        <w:t>10</w:t>
      </w:r>
      <w:r w:rsidRPr="0095514B">
        <w:rPr>
          <w:rFonts w:ascii="Times New Roman" w:hAnsi="Times New Roman" w:cs="Times New Roman"/>
          <w:sz w:val="24"/>
          <w:szCs w:val="24"/>
        </w:rPr>
        <w:t xml:space="preserve"> years of experience in rail intermodal and rail freight operations, including areas like business development, customer acquisition, logistics cost calculations, rail freight and rail intermodal performance, rail freight and rail intermodal service delivery, </w:t>
      </w:r>
      <w:r w:rsidR="00012556" w:rsidRPr="0095514B">
        <w:rPr>
          <w:rFonts w:ascii="Times New Roman" w:hAnsi="Times New Roman" w:cs="Times New Roman"/>
          <w:sz w:val="24"/>
          <w:szCs w:val="24"/>
        </w:rPr>
        <w:t xml:space="preserve">railway sector reform, railway undertaking corporate performance, </w:t>
      </w:r>
      <w:r w:rsidRPr="0095514B">
        <w:rPr>
          <w:rFonts w:ascii="Times New Roman" w:hAnsi="Times New Roman" w:cs="Times New Roman"/>
          <w:sz w:val="24"/>
          <w:szCs w:val="24"/>
        </w:rPr>
        <w:t>and the like.</w:t>
      </w:r>
    </w:p>
    <w:p w14:paraId="6D019974" w14:textId="3D907552" w:rsidR="0095514B" w:rsidRDefault="00EE40DD" w:rsidP="0095514B">
      <w:pPr>
        <w:pStyle w:val="ListeParagraf"/>
        <w:numPr>
          <w:ilvl w:val="0"/>
          <w:numId w:val="7"/>
        </w:numPr>
        <w:spacing w:after="120"/>
        <w:ind w:left="360"/>
        <w:contextualSpacing w:val="0"/>
        <w:jc w:val="both"/>
        <w:rPr>
          <w:rFonts w:ascii="Times New Roman" w:hAnsi="Times New Roman" w:cs="Times New Roman"/>
          <w:sz w:val="24"/>
          <w:szCs w:val="24"/>
        </w:rPr>
      </w:pPr>
      <w:r w:rsidRPr="0095514B">
        <w:rPr>
          <w:rFonts w:ascii="Times New Roman" w:hAnsi="Times New Roman" w:cs="Times New Roman"/>
          <w:b/>
          <w:bCs/>
          <w:sz w:val="24"/>
          <w:szCs w:val="24"/>
        </w:rPr>
        <w:t>Logistics Clusters/</w:t>
      </w:r>
      <w:r w:rsidR="0095514B">
        <w:rPr>
          <w:rFonts w:ascii="Times New Roman" w:hAnsi="Times New Roman" w:cs="Times New Roman"/>
          <w:b/>
          <w:bCs/>
          <w:sz w:val="24"/>
          <w:szCs w:val="24"/>
        </w:rPr>
        <w:t xml:space="preserve">Logistics </w:t>
      </w:r>
      <w:r w:rsidRPr="0095514B">
        <w:rPr>
          <w:rFonts w:ascii="Times New Roman" w:hAnsi="Times New Roman" w:cs="Times New Roman"/>
          <w:b/>
          <w:bCs/>
          <w:sz w:val="24"/>
          <w:szCs w:val="24"/>
        </w:rPr>
        <w:t xml:space="preserve">Centers </w:t>
      </w:r>
      <w:r w:rsidR="00A60C2C" w:rsidRPr="0095514B">
        <w:rPr>
          <w:rFonts w:ascii="Times New Roman" w:hAnsi="Times New Roman" w:cs="Times New Roman"/>
          <w:b/>
          <w:bCs/>
          <w:sz w:val="24"/>
          <w:szCs w:val="24"/>
        </w:rPr>
        <w:t xml:space="preserve">Operations </w:t>
      </w:r>
      <w:r w:rsidRPr="0095514B">
        <w:rPr>
          <w:rFonts w:ascii="Times New Roman" w:hAnsi="Times New Roman" w:cs="Times New Roman"/>
          <w:b/>
          <w:bCs/>
          <w:sz w:val="24"/>
          <w:szCs w:val="24"/>
        </w:rPr>
        <w:t>Expert.</w:t>
      </w:r>
      <w:r w:rsidRPr="0095514B">
        <w:rPr>
          <w:rFonts w:ascii="Times New Roman" w:hAnsi="Times New Roman" w:cs="Times New Roman"/>
          <w:sz w:val="24"/>
          <w:szCs w:val="24"/>
        </w:rPr>
        <w:t xml:space="preserve"> This expert should have at least 8 years of experience in areas or roles directly related to logistics centers and logistics clusters, including </w:t>
      </w:r>
      <w:proofErr w:type="gramStart"/>
      <w:r w:rsidRPr="0095514B">
        <w:rPr>
          <w:rFonts w:ascii="Times New Roman" w:hAnsi="Times New Roman" w:cs="Times New Roman"/>
          <w:sz w:val="24"/>
          <w:szCs w:val="24"/>
        </w:rPr>
        <w:t>with regard to</w:t>
      </w:r>
      <w:proofErr w:type="gramEnd"/>
      <w:r w:rsidRPr="0095514B">
        <w:rPr>
          <w:rFonts w:ascii="Times New Roman" w:hAnsi="Times New Roman" w:cs="Times New Roman"/>
          <w:sz w:val="24"/>
          <w:szCs w:val="24"/>
        </w:rPr>
        <w:t xml:space="preserve"> their development, financing, operation, and planning/growth strategies.</w:t>
      </w:r>
    </w:p>
    <w:p w14:paraId="304DE4CB" w14:textId="77777777" w:rsidR="0095514B" w:rsidRDefault="00EE40DD" w:rsidP="0095514B">
      <w:pPr>
        <w:pStyle w:val="ListeParagraf"/>
        <w:numPr>
          <w:ilvl w:val="0"/>
          <w:numId w:val="7"/>
        </w:numPr>
        <w:spacing w:after="120"/>
        <w:ind w:left="360"/>
        <w:contextualSpacing w:val="0"/>
        <w:jc w:val="both"/>
        <w:rPr>
          <w:rFonts w:ascii="Times New Roman" w:hAnsi="Times New Roman" w:cs="Times New Roman"/>
          <w:sz w:val="24"/>
          <w:szCs w:val="24"/>
        </w:rPr>
      </w:pPr>
      <w:r w:rsidRPr="0095514B">
        <w:rPr>
          <w:rFonts w:ascii="Times New Roman" w:hAnsi="Times New Roman" w:cs="Times New Roman"/>
          <w:b/>
          <w:bCs/>
          <w:sz w:val="24"/>
          <w:szCs w:val="24"/>
        </w:rPr>
        <w:t xml:space="preserve">Multimodal and Rail Freight Logistics Regulatory and Competition Expert. </w:t>
      </w:r>
      <w:r w:rsidRPr="0095514B">
        <w:rPr>
          <w:rFonts w:ascii="Times New Roman" w:hAnsi="Times New Roman" w:cs="Times New Roman"/>
          <w:sz w:val="24"/>
          <w:szCs w:val="24"/>
        </w:rPr>
        <w:t xml:space="preserve">This expert should have at least 8 years of experience in regulatory and competition matters in rail freight and multimodal logistics markets. </w:t>
      </w:r>
      <w:r w:rsidR="00485E31" w:rsidRPr="0095514B">
        <w:rPr>
          <w:rFonts w:ascii="Times New Roman" w:hAnsi="Times New Roman" w:cs="Times New Roman"/>
          <w:sz w:val="24"/>
          <w:szCs w:val="24"/>
        </w:rPr>
        <w:t>Significant</w:t>
      </w:r>
      <w:r w:rsidR="00012556" w:rsidRPr="0095514B">
        <w:rPr>
          <w:rFonts w:ascii="Times New Roman" w:hAnsi="Times New Roman" w:cs="Times New Roman"/>
          <w:sz w:val="24"/>
          <w:szCs w:val="24"/>
        </w:rPr>
        <w:t xml:space="preserve"> familiarity with</w:t>
      </w:r>
      <w:r w:rsidRPr="0095514B">
        <w:rPr>
          <w:rFonts w:ascii="Times New Roman" w:hAnsi="Times New Roman" w:cs="Times New Roman"/>
          <w:sz w:val="24"/>
          <w:szCs w:val="24"/>
        </w:rPr>
        <w:t xml:space="preserve"> Türkiye </w:t>
      </w:r>
      <w:r w:rsidR="00012556" w:rsidRPr="0095514B">
        <w:rPr>
          <w:rFonts w:ascii="Times New Roman" w:hAnsi="Times New Roman" w:cs="Times New Roman"/>
          <w:sz w:val="24"/>
          <w:szCs w:val="24"/>
        </w:rPr>
        <w:t>and direct experience in the</w:t>
      </w:r>
      <w:r w:rsidRPr="0095514B">
        <w:rPr>
          <w:rFonts w:ascii="Times New Roman" w:hAnsi="Times New Roman" w:cs="Times New Roman"/>
          <w:sz w:val="24"/>
          <w:szCs w:val="24"/>
        </w:rPr>
        <w:t xml:space="preserve"> EU </w:t>
      </w:r>
      <w:r w:rsidR="00485E31" w:rsidRPr="0095514B">
        <w:rPr>
          <w:rFonts w:ascii="Times New Roman" w:hAnsi="Times New Roman" w:cs="Times New Roman"/>
          <w:sz w:val="24"/>
          <w:szCs w:val="24"/>
        </w:rPr>
        <w:t>are</w:t>
      </w:r>
      <w:r w:rsidR="002E43EA" w:rsidRPr="0095514B">
        <w:rPr>
          <w:rFonts w:ascii="Times New Roman" w:hAnsi="Times New Roman" w:cs="Times New Roman"/>
          <w:sz w:val="24"/>
          <w:szCs w:val="24"/>
        </w:rPr>
        <w:t xml:space="preserve"> a requirement for this role</w:t>
      </w:r>
      <w:r w:rsidR="00A60C2C" w:rsidRPr="0095514B">
        <w:rPr>
          <w:rFonts w:ascii="Times New Roman" w:hAnsi="Times New Roman" w:cs="Times New Roman"/>
          <w:sz w:val="24"/>
          <w:szCs w:val="24"/>
        </w:rPr>
        <w:t>.</w:t>
      </w:r>
    </w:p>
    <w:p w14:paraId="2AAABCEE" w14:textId="77777777" w:rsidR="0095514B" w:rsidRDefault="002E43EA" w:rsidP="0095514B">
      <w:pPr>
        <w:pStyle w:val="ListeParagraf"/>
        <w:numPr>
          <w:ilvl w:val="0"/>
          <w:numId w:val="7"/>
        </w:numPr>
        <w:spacing w:after="120"/>
        <w:ind w:left="360"/>
        <w:contextualSpacing w:val="0"/>
        <w:jc w:val="both"/>
        <w:rPr>
          <w:rFonts w:ascii="Times New Roman" w:hAnsi="Times New Roman" w:cs="Times New Roman"/>
          <w:sz w:val="24"/>
          <w:szCs w:val="24"/>
        </w:rPr>
      </w:pPr>
      <w:r w:rsidRPr="0095514B">
        <w:rPr>
          <w:rFonts w:ascii="Times New Roman" w:hAnsi="Times New Roman" w:cs="Times New Roman"/>
          <w:b/>
          <w:bCs/>
          <w:sz w:val="24"/>
          <w:szCs w:val="24"/>
        </w:rPr>
        <w:t>Türkiye Multimodal Logistics Senior Expert.</w:t>
      </w:r>
      <w:r w:rsidRPr="0095514B">
        <w:rPr>
          <w:rFonts w:ascii="Times New Roman" w:hAnsi="Times New Roman" w:cs="Times New Roman"/>
          <w:sz w:val="24"/>
          <w:szCs w:val="24"/>
        </w:rPr>
        <w:t xml:space="preserve"> This expert should have at least 12 years of experience working on multimodal logistics issues in Türkiye specifically, whether in the industry or in an advisory, banking, or governmental capacity. This expert should lead all interviews with Türkiye-based stakeholders and play a key role in ensuring that all recommendations and assessments are properly contextualized to the Turkish environment.</w:t>
      </w:r>
    </w:p>
    <w:p w14:paraId="00BF665A" w14:textId="156F528D" w:rsidR="0095514B" w:rsidRPr="00EA0819" w:rsidRDefault="002E43EA" w:rsidP="00EA0819">
      <w:pPr>
        <w:pStyle w:val="ListeParagraf"/>
        <w:numPr>
          <w:ilvl w:val="0"/>
          <w:numId w:val="7"/>
        </w:numPr>
        <w:spacing w:after="120"/>
        <w:ind w:left="360"/>
        <w:contextualSpacing w:val="0"/>
        <w:jc w:val="both"/>
        <w:rPr>
          <w:rFonts w:ascii="Times New Roman" w:hAnsi="Times New Roman" w:cs="Times New Roman"/>
          <w:sz w:val="24"/>
          <w:szCs w:val="24"/>
        </w:rPr>
      </w:pPr>
      <w:r w:rsidRPr="0095514B">
        <w:rPr>
          <w:rFonts w:ascii="Times New Roman" w:hAnsi="Times New Roman" w:cs="Times New Roman"/>
          <w:b/>
          <w:bCs/>
          <w:sz w:val="24"/>
          <w:szCs w:val="24"/>
        </w:rPr>
        <w:t>Transpor</w:t>
      </w:r>
      <w:r w:rsidR="00D461E7" w:rsidRPr="0095514B">
        <w:rPr>
          <w:rFonts w:ascii="Times New Roman" w:hAnsi="Times New Roman" w:cs="Times New Roman"/>
          <w:b/>
          <w:bCs/>
          <w:sz w:val="24"/>
          <w:szCs w:val="24"/>
        </w:rPr>
        <w:t xml:space="preserve">t </w:t>
      </w:r>
      <w:r w:rsidRPr="0095514B">
        <w:rPr>
          <w:rFonts w:ascii="Times New Roman" w:hAnsi="Times New Roman" w:cs="Times New Roman"/>
          <w:b/>
          <w:bCs/>
          <w:sz w:val="24"/>
          <w:szCs w:val="24"/>
        </w:rPr>
        <w:t>Modeler/Economist.</w:t>
      </w:r>
      <w:r w:rsidRPr="0095514B">
        <w:rPr>
          <w:rFonts w:ascii="Times New Roman" w:hAnsi="Times New Roman" w:cs="Times New Roman"/>
          <w:sz w:val="24"/>
          <w:szCs w:val="24"/>
        </w:rPr>
        <w:t xml:space="preserve"> This expert should have at least 8 years of experience with transport modeling, including freight flow </w:t>
      </w:r>
      <w:r w:rsidR="00D461E7" w:rsidRPr="0095514B">
        <w:rPr>
          <w:rFonts w:ascii="Times New Roman" w:hAnsi="Times New Roman" w:cs="Times New Roman"/>
          <w:sz w:val="24"/>
          <w:szCs w:val="24"/>
        </w:rPr>
        <w:t xml:space="preserve">and </w:t>
      </w:r>
      <w:r w:rsidRPr="0095514B">
        <w:rPr>
          <w:rFonts w:ascii="Times New Roman" w:hAnsi="Times New Roman" w:cs="Times New Roman"/>
          <w:sz w:val="24"/>
          <w:szCs w:val="24"/>
        </w:rPr>
        <w:t xml:space="preserve">logistics networks modeling. He/she should also have </w:t>
      </w:r>
      <w:r w:rsidR="00D461E7" w:rsidRPr="0095514B">
        <w:rPr>
          <w:rFonts w:ascii="Times New Roman" w:hAnsi="Times New Roman" w:cs="Times New Roman"/>
          <w:sz w:val="24"/>
          <w:szCs w:val="24"/>
        </w:rPr>
        <w:t>economic</w:t>
      </w:r>
      <w:r w:rsidRPr="0095514B">
        <w:rPr>
          <w:rFonts w:ascii="Times New Roman" w:hAnsi="Times New Roman" w:cs="Times New Roman"/>
          <w:sz w:val="24"/>
          <w:szCs w:val="24"/>
        </w:rPr>
        <w:t xml:space="preserve"> modeling experience</w:t>
      </w:r>
      <w:r w:rsidR="00D461E7" w:rsidRPr="0095514B">
        <w:rPr>
          <w:rFonts w:ascii="Times New Roman" w:hAnsi="Times New Roman" w:cs="Times New Roman"/>
          <w:sz w:val="24"/>
          <w:szCs w:val="24"/>
        </w:rPr>
        <w:t xml:space="preserve"> (trade, growth, jobs)</w:t>
      </w:r>
      <w:r w:rsidR="00EA0819">
        <w:rPr>
          <w:rFonts w:ascii="Times New Roman" w:hAnsi="Times New Roman" w:cs="Times New Roman"/>
          <w:sz w:val="24"/>
          <w:szCs w:val="24"/>
        </w:rPr>
        <w:t>.</w:t>
      </w:r>
    </w:p>
    <w:p w14:paraId="31F5D2ED" w14:textId="74A76285" w:rsidR="00D461E7" w:rsidRPr="0095514B" w:rsidRDefault="00D461E7" w:rsidP="0095514B">
      <w:pPr>
        <w:pStyle w:val="ListeParagraf"/>
        <w:numPr>
          <w:ilvl w:val="0"/>
          <w:numId w:val="7"/>
        </w:numPr>
        <w:spacing w:after="120"/>
        <w:ind w:left="360"/>
        <w:contextualSpacing w:val="0"/>
        <w:jc w:val="both"/>
        <w:rPr>
          <w:rFonts w:ascii="Times New Roman" w:hAnsi="Times New Roman" w:cs="Times New Roman"/>
          <w:sz w:val="24"/>
          <w:szCs w:val="24"/>
        </w:rPr>
      </w:pPr>
      <w:r w:rsidRPr="0095514B">
        <w:rPr>
          <w:rFonts w:ascii="Times New Roman" w:hAnsi="Times New Roman" w:cs="Times New Roman"/>
          <w:b/>
          <w:bCs/>
          <w:sz w:val="24"/>
          <w:szCs w:val="24"/>
        </w:rPr>
        <w:t>Financial Modeler.</w:t>
      </w:r>
      <w:r w:rsidRPr="0095514B">
        <w:rPr>
          <w:rFonts w:ascii="Times New Roman" w:hAnsi="Times New Roman" w:cs="Times New Roman"/>
          <w:sz w:val="24"/>
          <w:szCs w:val="24"/>
        </w:rPr>
        <w:t xml:space="preserve"> This expert should have at least 8 years of experience preparing client-facing </w:t>
      </w:r>
      <w:r w:rsidR="0095514B">
        <w:rPr>
          <w:rFonts w:ascii="Times New Roman" w:hAnsi="Times New Roman" w:cs="Times New Roman"/>
          <w:sz w:val="24"/>
          <w:szCs w:val="24"/>
        </w:rPr>
        <w:t xml:space="preserve">spreadsheet-based </w:t>
      </w:r>
      <w:r w:rsidRPr="0095514B">
        <w:rPr>
          <w:rFonts w:ascii="Times New Roman" w:hAnsi="Times New Roman" w:cs="Times New Roman"/>
          <w:sz w:val="24"/>
          <w:szCs w:val="24"/>
        </w:rPr>
        <w:t xml:space="preserve">financial models in a consulting, banking, private equity, or corporate environment. </w:t>
      </w:r>
    </w:p>
    <w:p w14:paraId="74F768D0" w14:textId="2A82B9AA" w:rsidR="00EE40DD" w:rsidRDefault="002E43EA" w:rsidP="0016443C">
      <w:pPr>
        <w:tabs>
          <w:tab w:val="left" w:pos="3222"/>
        </w:tabs>
        <w:jc w:val="both"/>
        <w:rPr>
          <w:rFonts w:ascii="Times New Roman" w:hAnsi="Times New Roman" w:cs="Times New Roman"/>
          <w:sz w:val="24"/>
          <w:szCs w:val="24"/>
        </w:rPr>
      </w:pPr>
      <w:r>
        <w:rPr>
          <w:rFonts w:ascii="Times New Roman" w:hAnsi="Times New Roman" w:cs="Times New Roman"/>
          <w:sz w:val="24"/>
          <w:szCs w:val="24"/>
        </w:rPr>
        <w:t xml:space="preserve">In addition to the above expert roles, prospective consultants should supplement their teams with additional </w:t>
      </w:r>
      <w:r w:rsidR="00E357E0">
        <w:rPr>
          <w:rFonts w:ascii="Times New Roman" w:hAnsi="Times New Roman" w:cs="Times New Roman"/>
          <w:sz w:val="24"/>
          <w:szCs w:val="24"/>
        </w:rPr>
        <w:t>support</w:t>
      </w:r>
      <w:r>
        <w:rPr>
          <w:rFonts w:ascii="Times New Roman" w:hAnsi="Times New Roman" w:cs="Times New Roman"/>
          <w:sz w:val="24"/>
          <w:szCs w:val="24"/>
        </w:rPr>
        <w:t xml:space="preserve"> and expert advisory roles as needed to deliver on their proposed activities. </w:t>
      </w:r>
      <w:r w:rsidR="00EE40DD">
        <w:rPr>
          <w:rFonts w:ascii="Times New Roman" w:hAnsi="Times New Roman" w:cs="Times New Roman"/>
          <w:sz w:val="24"/>
          <w:szCs w:val="24"/>
        </w:rPr>
        <w:tab/>
      </w:r>
    </w:p>
    <w:p w14:paraId="5DA7DB7F" w14:textId="636815A7" w:rsidR="002E43EA" w:rsidRDefault="002E43EA" w:rsidP="0016443C">
      <w:pPr>
        <w:tabs>
          <w:tab w:val="left" w:pos="3222"/>
        </w:tabs>
        <w:jc w:val="both"/>
        <w:rPr>
          <w:rFonts w:ascii="Times New Roman" w:hAnsi="Times New Roman" w:cs="Times New Roman"/>
          <w:sz w:val="24"/>
          <w:szCs w:val="24"/>
        </w:rPr>
      </w:pPr>
      <w:r>
        <w:rPr>
          <w:rFonts w:ascii="Times New Roman" w:hAnsi="Times New Roman" w:cs="Times New Roman"/>
          <w:sz w:val="24"/>
          <w:szCs w:val="24"/>
        </w:rPr>
        <w:t xml:space="preserve">Prospective consultants should indicate the level of effort (person-days) expected of each member of their teams, and the number of person-days to be spent in Türkiye and outside Türkiye for each </w:t>
      </w:r>
      <w:r>
        <w:rPr>
          <w:rFonts w:ascii="Times New Roman" w:hAnsi="Times New Roman" w:cs="Times New Roman"/>
          <w:sz w:val="24"/>
          <w:szCs w:val="24"/>
        </w:rPr>
        <w:lastRenderedPageBreak/>
        <w:t xml:space="preserve">team member. Teams that propose a compelling combination of Turkish and International staff will be given preference. </w:t>
      </w:r>
    </w:p>
    <w:p w14:paraId="6F34051F" w14:textId="656F77CF" w:rsidR="002E43EA" w:rsidRPr="00EE40DD" w:rsidRDefault="00012556" w:rsidP="0016443C">
      <w:pPr>
        <w:spacing w:line="240" w:lineRule="auto"/>
        <w:jc w:val="both"/>
        <w:rPr>
          <w:rFonts w:ascii="Times New Roman" w:hAnsi="Times New Roman" w:cs="Times New Roman"/>
          <w:sz w:val="24"/>
          <w:szCs w:val="24"/>
        </w:rPr>
      </w:pPr>
      <w:r w:rsidRPr="00B93734">
        <w:rPr>
          <w:rFonts w:ascii="Times New Roman" w:hAnsi="Times New Roman"/>
          <w:sz w:val="24"/>
          <w:szCs w:val="24"/>
        </w:rPr>
        <w:t xml:space="preserve">All staff must be independent and free from conflicts of interest in the responsibilities accorded to them. As the final reports will be produced in both English and </w:t>
      </w:r>
      <w:r>
        <w:rPr>
          <w:rFonts w:ascii="Times New Roman" w:hAnsi="Times New Roman"/>
          <w:sz w:val="24"/>
          <w:szCs w:val="24"/>
        </w:rPr>
        <w:t>Turkish</w:t>
      </w:r>
      <w:r w:rsidRPr="00B93734">
        <w:rPr>
          <w:rFonts w:ascii="Times New Roman" w:hAnsi="Times New Roman"/>
          <w:sz w:val="24"/>
          <w:szCs w:val="24"/>
        </w:rPr>
        <w:t xml:space="preserve">, the </w:t>
      </w:r>
      <w:r>
        <w:rPr>
          <w:rFonts w:ascii="Times New Roman" w:hAnsi="Times New Roman"/>
          <w:sz w:val="24"/>
          <w:szCs w:val="24"/>
        </w:rPr>
        <w:t>Consultant</w:t>
      </w:r>
      <w:r w:rsidRPr="00B93734">
        <w:rPr>
          <w:rFonts w:ascii="Times New Roman" w:hAnsi="Times New Roman"/>
          <w:sz w:val="24"/>
          <w:szCs w:val="24"/>
        </w:rPr>
        <w:t xml:space="preserve"> may wish to consider having translators on the team or propose a viable alternative for reliable and high-quality translation.</w:t>
      </w:r>
    </w:p>
    <w:sectPr w:rsidR="002E43EA" w:rsidRPr="00EE40DD">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567C" w14:textId="77777777" w:rsidR="00BD418C" w:rsidRDefault="00BD418C" w:rsidP="00E45611">
      <w:pPr>
        <w:spacing w:after="0" w:line="240" w:lineRule="auto"/>
      </w:pPr>
      <w:r>
        <w:separator/>
      </w:r>
    </w:p>
  </w:endnote>
  <w:endnote w:type="continuationSeparator" w:id="0">
    <w:p w14:paraId="042698CB" w14:textId="77777777" w:rsidR="00BD418C" w:rsidRDefault="00BD418C" w:rsidP="00E4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A770" w14:textId="0B0FFA58" w:rsidR="00E45611" w:rsidRDefault="00E45611">
    <w:pPr>
      <w:pStyle w:val="AltBilgi"/>
    </w:pPr>
    <w:r>
      <w:rPr>
        <w:noProof/>
        <w:lang w:val="tr-TR" w:eastAsia="tr-TR"/>
        <w14:ligatures w14:val="standardContextual"/>
      </w:rPr>
      <mc:AlternateContent>
        <mc:Choice Requires="wps">
          <w:drawing>
            <wp:anchor distT="0" distB="0" distL="0" distR="0" simplePos="0" relativeHeight="251659264" behindDoc="0" locked="0" layoutInCell="1" allowOverlap="1" wp14:anchorId="7F03BDFC" wp14:editId="7B93CB92">
              <wp:simplePos x="635" y="635"/>
              <wp:positionH relativeFrom="page">
                <wp:align>right</wp:align>
              </wp:positionH>
              <wp:positionV relativeFrom="page">
                <wp:align>bottom</wp:align>
              </wp:positionV>
              <wp:extent cx="1106805" cy="357505"/>
              <wp:effectExtent l="0" t="0" r="0" b="0"/>
              <wp:wrapNone/>
              <wp:docPr id="211706859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13F28DF2" w14:textId="5B3C36D6" w:rsidR="00E45611" w:rsidRPr="00E45611" w:rsidRDefault="00E45611" w:rsidP="00E45611">
                          <w:pPr>
                            <w:spacing w:after="0"/>
                            <w:rPr>
                              <w:rFonts w:ascii="Calibri" w:eastAsia="Calibri" w:hAnsi="Calibri" w:cs="Calibri"/>
                              <w:noProof/>
                              <w:color w:val="000000"/>
                              <w:sz w:val="20"/>
                              <w:szCs w:val="20"/>
                            </w:rPr>
                          </w:pPr>
                          <w:r w:rsidRPr="00E45611">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03BDFC"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" filled="f" stroked="f">
              <v:textbox style="mso-fit-shape-to-text:t" inset="0,0,20pt,15pt">
                <w:txbxContent>
                  <w:p w14:paraId="13F28DF2" w14:textId="5B3C36D6" w:rsidR="00E45611" w:rsidRPr="00E45611" w:rsidRDefault="00E45611" w:rsidP="00E45611">
                    <w:pPr>
                      <w:spacing w:after="0"/>
                      <w:rPr>
                        <w:rFonts w:ascii="Calibri" w:eastAsia="Calibri" w:hAnsi="Calibri" w:cs="Calibri"/>
                        <w:noProof/>
                        <w:color w:val="000000"/>
                        <w:sz w:val="20"/>
                        <w:szCs w:val="20"/>
                      </w:rPr>
                    </w:pPr>
                    <w:r w:rsidRPr="00E45611">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49132"/>
      <w:docPartObj>
        <w:docPartGallery w:val="Page Numbers (Bottom of Page)"/>
        <w:docPartUnique/>
      </w:docPartObj>
    </w:sdtPr>
    <w:sdtEndPr>
      <w:rPr>
        <w:rFonts w:ascii="Times New Roman" w:hAnsi="Times New Roman" w:cs="Times New Roman"/>
        <w:noProof/>
      </w:rPr>
    </w:sdtEndPr>
    <w:sdtContent>
      <w:p w14:paraId="1C7AC5B5" w14:textId="0BF40A03" w:rsidR="00327CE8" w:rsidRPr="00327CE8" w:rsidRDefault="00327CE8">
        <w:pPr>
          <w:pStyle w:val="AltBilgi"/>
          <w:jc w:val="center"/>
          <w:rPr>
            <w:rFonts w:ascii="Times New Roman" w:hAnsi="Times New Roman" w:cs="Times New Roman"/>
          </w:rPr>
        </w:pPr>
        <w:r w:rsidRPr="00327CE8">
          <w:rPr>
            <w:rFonts w:ascii="Times New Roman" w:hAnsi="Times New Roman" w:cs="Times New Roman"/>
          </w:rPr>
          <w:fldChar w:fldCharType="begin"/>
        </w:r>
        <w:r w:rsidRPr="00327CE8">
          <w:rPr>
            <w:rFonts w:ascii="Times New Roman" w:hAnsi="Times New Roman" w:cs="Times New Roman"/>
          </w:rPr>
          <w:instrText xml:space="preserve"> PAGE   \* MERGEFORMAT </w:instrText>
        </w:r>
        <w:r w:rsidRPr="00327CE8">
          <w:rPr>
            <w:rFonts w:ascii="Times New Roman" w:hAnsi="Times New Roman" w:cs="Times New Roman"/>
          </w:rPr>
          <w:fldChar w:fldCharType="separate"/>
        </w:r>
        <w:r w:rsidR="00DB1E5D">
          <w:rPr>
            <w:rFonts w:ascii="Times New Roman" w:hAnsi="Times New Roman" w:cs="Times New Roman"/>
            <w:noProof/>
          </w:rPr>
          <w:t>2</w:t>
        </w:r>
        <w:r w:rsidRPr="00327CE8">
          <w:rPr>
            <w:rFonts w:ascii="Times New Roman" w:hAnsi="Times New Roman" w:cs="Times New Roman"/>
            <w:noProof/>
          </w:rPr>
          <w:fldChar w:fldCharType="end"/>
        </w:r>
      </w:p>
    </w:sdtContent>
  </w:sdt>
  <w:p w14:paraId="5CAEF93E" w14:textId="124281D0" w:rsidR="00E45611" w:rsidRDefault="00E456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83EA" w14:textId="281A4C16" w:rsidR="00E45611" w:rsidRDefault="00E45611">
    <w:pPr>
      <w:pStyle w:val="AltBilgi"/>
    </w:pPr>
    <w:r>
      <w:rPr>
        <w:noProof/>
        <w:lang w:val="tr-TR" w:eastAsia="tr-TR"/>
        <w14:ligatures w14:val="standardContextual"/>
      </w:rPr>
      <mc:AlternateContent>
        <mc:Choice Requires="wps">
          <w:drawing>
            <wp:anchor distT="0" distB="0" distL="0" distR="0" simplePos="0" relativeHeight="251658240" behindDoc="0" locked="0" layoutInCell="1" allowOverlap="1" wp14:anchorId="13E5B865" wp14:editId="76249816">
              <wp:simplePos x="635" y="635"/>
              <wp:positionH relativeFrom="page">
                <wp:align>right</wp:align>
              </wp:positionH>
              <wp:positionV relativeFrom="page">
                <wp:align>bottom</wp:align>
              </wp:positionV>
              <wp:extent cx="1106805" cy="357505"/>
              <wp:effectExtent l="0" t="0" r="0" b="0"/>
              <wp:wrapNone/>
              <wp:docPr id="53085945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5817F349" w14:textId="29DD1FF9" w:rsidR="00E45611" w:rsidRPr="00E45611" w:rsidRDefault="00E45611" w:rsidP="00E45611">
                          <w:pPr>
                            <w:spacing w:after="0"/>
                            <w:rPr>
                              <w:rFonts w:ascii="Calibri" w:eastAsia="Calibri" w:hAnsi="Calibri" w:cs="Calibri"/>
                              <w:noProof/>
                              <w:color w:val="000000"/>
                              <w:sz w:val="20"/>
                              <w:szCs w:val="20"/>
                            </w:rPr>
                          </w:pPr>
                          <w:r w:rsidRPr="00E45611">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E5B865" id="_x0000_t202" coordsize="21600,21600" o:spt="202" path="m,l,21600r21600,l21600,xe">
              <v:stroke joinstyle="miter"/>
              <v:path gradientshapeok="t" o:connecttype="rect"/>
            </v:shapetype>
            <v:shape id="Text Box 1" o:spid="_x0000_s1027"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" filled="f" stroked="f">
              <v:textbox style="mso-fit-shape-to-text:t" inset="0,0,20pt,15pt">
                <w:txbxContent>
                  <w:p w14:paraId="5817F349" w14:textId="29DD1FF9" w:rsidR="00E45611" w:rsidRPr="00E45611" w:rsidRDefault="00E45611" w:rsidP="00E45611">
                    <w:pPr>
                      <w:spacing w:after="0"/>
                      <w:rPr>
                        <w:rFonts w:ascii="Calibri" w:eastAsia="Calibri" w:hAnsi="Calibri" w:cs="Calibri"/>
                        <w:noProof/>
                        <w:color w:val="000000"/>
                        <w:sz w:val="20"/>
                        <w:szCs w:val="20"/>
                      </w:rPr>
                    </w:pPr>
                    <w:r w:rsidRPr="00E45611">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280E" w14:textId="77777777" w:rsidR="00BD418C" w:rsidRDefault="00BD418C" w:rsidP="00E45611">
      <w:pPr>
        <w:spacing w:after="0" w:line="240" w:lineRule="auto"/>
      </w:pPr>
      <w:r>
        <w:separator/>
      </w:r>
    </w:p>
  </w:footnote>
  <w:footnote w:type="continuationSeparator" w:id="0">
    <w:p w14:paraId="6A7D8CED" w14:textId="77777777" w:rsidR="00BD418C" w:rsidRDefault="00BD418C" w:rsidP="00E45611">
      <w:pPr>
        <w:spacing w:after="0" w:line="240" w:lineRule="auto"/>
      </w:pPr>
      <w:r>
        <w:continuationSeparator/>
      </w:r>
    </w:p>
  </w:footnote>
  <w:footnote w:id="1">
    <w:p w14:paraId="578497F1" w14:textId="4135C704" w:rsidR="007D74AB" w:rsidRPr="00703A5B" w:rsidRDefault="007D74AB" w:rsidP="009446DC">
      <w:pPr>
        <w:pStyle w:val="DipnotMetni"/>
        <w:jc w:val="both"/>
        <w:rPr>
          <w:rFonts w:ascii="Times New Roman" w:hAnsi="Times New Roman" w:cs="Times New Roman"/>
        </w:rPr>
      </w:pPr>
      <w:r w:rsidRPr="00703A5B">
        <w:rPr>
          <w:rStyle w:val="DipnotBavurusu"/>
          <w:rFonts w:ascii="Times New Roman" w:hAnsi="Times New Roman" w:cs="Times New Roman"/>
        </w:rPr>
        <w:footnoteRef/>
      </w:r>
      <w:r w:rsidRPr="00703A5B">
        <w:rPr>
          <w:rFonts w:ascii="Times New Roman" w:hAnsi="Times New Roman" w:cs="Times New Roman"/>
        </w:rPr>
        <w:t xml:space="preserve"> As of </w:t>
      </w:r>
      <w:r w:rsidR="00E357E0" w:rsidRPr="00703A5B">
        <w:rPr>
          <w:rFonts w:ascii="Times New Roman" w:hAnsi="Times New Roman" w:cs="Times New Roman"/>
        </w:rPr>
        <w:t>November 2025,</w:t>
      </w:r>
      <w:r w:rsidRPr="00703A5B">
        <w:rPr>
          <w:rFonts w:ascii="Times New Roman" w:hAnsi="Times New Roman" w:cs="Times New Roman"/>
        </w:rPr>
        <w:t xml:space="preserve"> there were 5 active railway undertakings in </w:t>
      </w:r>
      <w:r w:rsidR="00703A5B" w:rsidRPr="00703A5B">
        <w:rPr>
          <w:rFonts w:ascii="Times New Roman" w:hAnsi="Times New Roman" w:cs="Times New Roman"/>
        </w:rPr>
        <w:t>Türkiye’s</w:t>
      </w:r>
      <w:r w:rsidRPr="00703A5B">
        <w:rPr>
          <w:rFonts w:ascii="Times New Roman" w:hAnsi="Times New Roman" w:cs="Times New Roman"/>
        </w:rPr>
        <w:t xml:space="preserve"> rail freight sector: TCDD Transportation (public</w:t>
      </w:r>
      <w:r w:rsidR="00703A5B" w:rsidRPr="00703A5B">
        <w:rPr>
          <w:rFonts w:ascii="Times New Roman" w:hAnsi="Times New Roman" w:cs="Times New Roman"/>
        </w:rPr>
        <w:t xml:space="preserve"> incumbent), </w:t>
      </w:r>
      <w:proofErr w:type="spellStart"/>
      <w:r w:rsidR="00703A5B" w:rsidRPr="00703A5B">
        <w:rPr>
          <w:rFonts w:ascii="Times New Roman" w:hAnsi="Times New Roman" w:cs="Times New Roman"/>
        </w:rPr>
        <w:t>Omsan</w:t>
      </w:r>
      <w:proofErr w:type="spellEnd"/>
      <w:r w:rsidR="00703A5B" w:rsidRPr="00703A5B">
        <w:rPr>
          <w:rFonts w:ascii="Times New Roman" w:hAnsi="Times New Roman" w:cs="Times New Roman"/>
        </w:rPr>
        <w:t xml:space="preserve"> Lojistik (private RU), Körfez Ulaştırma (private RU), Pasifik Eurasia (private UR), Pars Rail (private UR), and Arkas Logistics (private RU). </w:t>
      </w:r>
      <w:r w:rsidR="009446DC">
        <w:rPr>
          <w:rFonts w:ascii="Times New Roman" w:hAnsi="Times New Roman" w:cs="Times New Roman"/>
        </w:rPr>
        <w:t>In</w:t>
      </w:r>
      <w:r w:rsidR="00703A5B" w:rsidRPr="00703A5B">
        <w:rPr>
          <w:rFonts w:ascii="Times New Roman" w:hAnsi="Times New Roman" w:cs="Times New Roman"/>
        </w:rPr>
        <w:t xml:space="preserve"> 2024, private RUs had a ton-km share of </w:t>
      </w:r>
      <w:r w:rsidR="009446DC" w:rsidRPr="00703A5B">
        <w:rPr>
          <w:rFonts w:ascii="Times New Roman" w:hAnsi="Times New Roman" w:cs="Times New Roman"/>
        </w:rPr>
        <w:t>Türkiye’s</w:t>
      </w:r>
      <w:r w:rsidR="00703A5B" w:rsidRPr="00703A5B">
        <w:rPr>
          <w:rFonts w:ascii="Times New Roman" w:hAnsi="Times New Roman" w:cs="Times New Roman"/>
        </w:rPr>
        <w:t xml:space="preserve"> rail freight market of approximately 22%. </w:t>
      </w:r>
    </w:p>
  </w:footnote>
  <w:footnote w:id="2">
    <w:p w14:paraId="6DDD7AA2" w14:textId="0A07F492" w:rsidR="00703A5B" w:rsidRPr="00703A5B" w:rsidRDefault="00703A5B" w:rsidP="009446DC">
      <w:pPr>
        <w:pStyle w:val="DipnotMetni"/>
        <w:jc w:val="both"/>
        <w:rPr>
          <w:rFonts w:ascii="Times New Roman" w:hAnsi="Times New Roman" w:cs="Times New Roman"/>
        </w:rPr>
      </w:pPr>
      <w:r w:rsidRPr="00703A5B">
        <w:rPr>
          <w:rStyle w:val="DipnotBavurusu"/>
          <w:rFonts w:ascii="Times New Roman" w:hAnsi="Times New Roman" w:cs="Times New Roman"/>
        </w:rPr>
        <w:footnoteRef/>
      </w:r>
      <w:r w:rsidRPr="00703A5B">
        <w:rPr>
          <w:rFonts w:ascii="Times New Roman" w:hAnsi="Times New Roman" w:cs="Times New Roman"/>
        </w:rPr>
        <w:t xml:space="preserve"> As of November 2025, the two largest private RUs—Omsan</w:t>
      </w:r>
      <w:r w:rsidR="00A237FD">
        <w:rPr>
          <w:rFonts w:ascii="Times New Roman" w:hAnsi="Times New Roman" w:cs="Times New Roman"/>
        </w:rPr>
        <w:t xml:space="preserve"> Lojistik</w:t>
      </w:r>
      <w:r w:rsidRPr="00703A5B">
        <w:rPr>
          <w:rFonts w:ascii="Times New Roman" w:hAnsi="Times New Roman" w:cs="Times New Roman"/>
        </w:rPr>
        <w:t xml:space="preserve"> and Körfez</w:t>
      </w:r>
      <w:r w:rsidR="00A237FD">
        <w:rPr>
          <w:rFonts w:ascii="Times New Roman" w:hAnsi="Times New Roman" w:cs="Times New Roman"/>
        </w:rPr>
        <w:t xml:space="preserve"> </w:t>
      </w:r>
      <w:r w:rsidR="00A237FD" w:rsidRPr="00703A5B">
        <w:rPr>
          <w:rFonts w:ascii="Times New Roman" w:hAnsi="Times New Roman" w:cs="Times New Roman"/>
        </w:rPr>
        <w:t>Ulaştırma</w:t>
      </w:r>
      <w:r w:rsidRPr="00703A5B">
        <w:rPr>
          <w:rFonts w:ascii="Times New Roman" w:hAnsi="Times New Roman" w:cs="Times New Roman"/>
        </w:rPr>
        <w:t>—which accounted for approximately 90% of the portion of the market serviced by private RUs</w:t>
      </w:r>
      <w:r w:rsidR="009446DC">
        <w:rPr>
          <w:rFonts w:ascii="Times New Roman" w:hAnsi="Times New Roman" w:cs="Times New Roman"/>
        </w:rPr>
        <w:t xml:space="preserve"> in 2024</w:t>
      </w:r>
      <w:r w:rsidRPr="00703A5B">
        <w:rPr>
          <w:rFonts w:ascii="Times New Roman" w:hAnsi="Times New Roman" w:cs="Times New Roman"/>
        </w:rPr>
        <w:t>, handled only their parent companies’ own freight</w:t>
      </w:r>
      <w:r w:rsidR="00A237FD">
        <w:rPr>
          <w:rFonts w:ascii="Times New Roman" w:hAnsi="Times New Roman" w:cs="Times New Roman"/>
        </w:rPr>
        <w:t xml:space="preserve"> (‘own account freight’)</w:t>
      </w:r>
      <w:r w:rsidRPr="00703A5B">
        <w:rPr>
          <w:rFonts w:ascii="Times New Roman" w:hAnsi="Times New Roman" w:cs="Times New Roman"/>
        </w:rPr>
        <w:t xml:space="preserve">, without providing for-hire transportation services to third parties.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759C4"/>
    <w:multiLevelType w:val="hybridMultilevel"/>
    <w:tmpl w:val="003413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400F9F"/>
    <w:multiLevelType w:val="hybridMultilevel"/>
    <w:tmpl w:val="E86C24BC"/>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A35662"/>
    <w:multiLevelType w:val="hybridMultilevel"/>
    <w:tmpl w:val="0428D26A"/>
    <w:lvl w:ilvl="0" w:tplc="2BE4234C">
      <w:start w:val="1"/>
      <w:numFmt w:val="decimal"/>
      <w:pStyle w:val="FirstLevel"/>
      <w:lvlText w:val="%1."/>
      <w:lvlJc w:val="left"/>
      <w:pPr>
        <w:ind w:left="360" w:hanging="360"/>
      </w:pPr>
      <w:rPr>
        <w:rFonts w:hint="default"/>
      </w:rPr>
    </w:lvl>
    <w:lvl w:ilvl="1" w:tplc="E4E4BFB6">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650000"/>
    <w:multiLevelType w:val="hybridMultilevel"/>
    <w:tmpl w:val="66D0C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D1ADC"/>
    <w:multiLevelType w:val="hybridMultilevel"/>
    <w:tmpl w:val="1EEED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B0FD1"/>
    <w:multiLevelType w:val="hybridMultilevel"/>
    <w:tmpl w:val="E9D63CB6"/>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970954"/>
    <w:multiLevelType w:val="hybridMultilevel"/>
    <w:tmpl w:val="38800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9E472B"/>
    <w:multiLevelType w:val="hybridMultilevel"/>
    <w:tmpl w:val="1A989178"/>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FC31578"/>
    <w:multiLevelType w:val="hybridMultilevel"/>
    <w:tmpl w:val="B00AFBA4"/>
    <w:lvl w:ilvl="0" w:tplc="0409000F">
      <w:start w:val="1"/>
      <w:numFmt w:val="decimal"/>
      <w:lvlText w:val="%1."/>
      <w:lvlJc w:val="left"/>
      <w:pPr>
        <w:ind w:left="3621" w:hanging="360"/>
      </w:pPr>
      <w:rPr>
        <w:rFonts w:hint="default"/>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9" w15:restartNumberingAfterBreak="0">
    <w:nsid w:val="60D35C1D"/>
    <w:multiLevelType w:val="hybridMultilevel"/>
    <w:tmpl w:val="052CB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26B682B"/>
    <w:multiLevelType w:val="hybridMultilevel"/>
    <w:tmpl w:val="303605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C566E"/>
    <w:multiLevelType w:val="hybridMultilevel"/>
    <w:tmpl w:val="C1046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E75520"/>
    <w:multiLevelType w:val="hybridMultilevel"/>
    <w:tmpl w:val="E110A3A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A1F0658"/>
    <w:multiLevelType w:val="hybridMultilevel"/>
    <w:tmpl w:val="16647274"/>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3D4A26"/>
    <w:multiLevelType w:val="hybridMultilevel"/>
    <w:tmpl w:val="D52C89A4"/>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67592F"/>
    <w:multiLevelType w:val="hybridMultilevel"/>
    <w:tmpl w:val="3C722D74"/>
    <w:lvl w:ilvl="0" w:tplc="0D70F3FC">
      <w:start w:val="1"/>
      <w:numFmt w:val="bullet"/>
      <w:lvlText w:val=""/>
      <w:lvlJc w:val="left"/>
      <w:pPr>
        <w:ind w:left="720" w:hanging="360"/>
      </w:pPr>
      <w:rPr>
        <w:rFonts w:ascii="Wingdings" w:hAnsi="Wingdings" w:hint="default"/>
        <w:b w:val="0"/>
        <w:i w:val="0"/>
        <w:color w:val="auto"/>
      </w:rPr>
    </w:lvl>
    <w:lvl w:ilvl="1" w:tplc="E0F6D2EC">
      <w:start w:val="1"/>
      <w:numFmt w:val="decimal"/>
      <w:lvlText w:val="%2."/>
      <w:lvlJc w:val="left"/>
      <w:pPr>
        <w:ind w:left="720" w:hanging="36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462195"/>
    <w:multiLevelType w:val="hybridMultilevel"/>
    <w:tmpl w:val="2D56ADD4"/>
    <w:lvl w:ilvl="0" w:tplc="40E035B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980455">
    <w:abstractNumId w:val="2"/>
  </w:num>
  <w:num w:numId="2" w16cid:durableId="1738555492">
    <w:abstractNumId w:val="15"/>
  </w:num>
  <w:num w:numId="3" w16cid:durableId="74596981">
    <w:abstractNumId w:val="16"/>
  </w:num>
  <w:num w:numId="4" w16cid:durableId="1264917340">
    <w:abstractNumId w:val="11"/>
  </w:num>
  <w:num w:numId="5" w16cid:durableId="1175802605">
    <w:abstractNumId w:val="4"/>
  </w:num>
  <w:num w:numId="6" w16cid:durableId="592665524">
    <w:abstractNumId w:val="10"/>
  </w:num>
  <w:num w:numId="7" w16cid:durableId="924805670">
    <w:abstractNumId w:val="8"/>
  </w:num>
  <w:num w:numId="8" w16cid:durableId="719482110">
    <w:abstractNumId w:val="3"/>
  </w:num>
  <w:num w:numId="9" w16cid:durableId="707143222">
    <w:abstractNumId w:val="7"/>
  </w:num>
  <w:num w:numId="10" w16cid:durableId="1083406932">
    <w:abstractNumId w:val="6"/>
  </w:num>
  <w:num w:numId="11" w16cid:durableId="990445991">
    <w:abstractNumId w:val="9"/>
  </w:num>
  <w:num w:numId="12" w16cid:durableId="526866458">
    <w:abstractNumId w:val="5"/>
  </w:num>
  <w:num w:numId="13" w16cid:durableId="144250271">
    <w:abstractNumId w:val="13"/>
  </w:num>
  <w:num w:numId="14" w16cid:durableId="1150946277">
    <w:abstractNumId w:val="12"/>
  </w:num>
  <w:num w:numId="15" w16cid:durableId="543174487">
    <w:abstractNumId w:val="1"/>
  </w:num>
  <w:num w:numId="16" w16cid:durableId="1798836778">
    <w:abstractNumId w:val="14"/>
  </w:num>
  <w:num w:numId="17" w16cid:durableId="141755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9A"/>
    <w:rsid w:val="00005AAA"/>
    <w:rsid w:val="00012556"/>
    <w:rsid w:val="00025292"/>
    <w:rsid w:val="00064837"/>
    <w:rsid w:val="000B7D29"/>
    <w:rsid w:val="000C6258"/>
    <w:rsid w:val="000E4BDE"/>
    <w:rsid w:val="0010616C"/>
    <w:rsid w:val="00153A6E"/>
    <w:rsid w:val="001602CF"/>
    <w:rsid w:val="0016443C"/>
    <w:rsid w:val="001876E6"/>
    <w:rsid w:val="001B2BC2"/>
    <w:rsid w:val="00214EEB"/>
    <w:rsid w:val="00232B60"/>
    <w:rsid w:val="00267025"/>
    <w:rsid w:val="002762B8"/>
    <w:rsid w:val="00284E79"/>
    <w:rsid w:val="00297947"/>
    <w:rsid w:val="002C4612"/>
    <w:rsid w:val="002C4F86"/>
    <w:rsid w:val="002E1ED5"/>
    <w:rsid w:val="002E43EA"/>
    <w:rsid w:val="0030041E"/>
    <w:rsid w:val="00327CE8"/>
    <w:rsid w:val="00327EC8"/>
    <w:rsid w:val="00335D68"/>
    <w:rsid w:val="00365BB4"/>
    <w:rsid w:val="003B1BA1"/>
    <w:rsid w:val="003C0CA2"/>
    <w:rsid w:val="003D27B5"/>
    <w:rsid w:val="003D369A"/>
    <w:rsid w:val="003F05CD"/>
    <w:rsid w:val="00434D86"/>
    <w:rsid w:val="00460B73"/>
    <w:rsid w:val="00485E31"/>
    <w:rsid w:val="004A552A"/>
    <w:rsid w:val="004C37AB"/>
    <w:rsid w:val="004C797B"/>
    <w:rsid w:val="004D0639"/>
    <w:rsid w:val="004D55D0"/>
    <w:rsid w:val="00504664"/>
    <w:rsid w:val="00520C7B"/>
    <w:rsid w:val="00537FCB"/>
    <w:rsid w:val="005E34A9"/>
    <w:rsid w:val="006120C7"/>
    <w:rsid w:val="0061279E"/>
    <w:rsid w:val="00613E1D"/>
    <w:rsid w:val="00631AB3"/>
    <w:rsid w:val="0065126E"/>
    <w:rsid w:val="006738A1"/>
    <w:rsid w:val="00673BC9"/>
    <w:rsid w:val="006A6AD4"/>
    <w:rsid w:val="006F0643"/>
    <w:rsid w:val="00703A5B"/>
    <w:rsid w:val="00707086"/>
    <w:rsid w:val="00734A2B"/>
    <w:rsid w:val="00747E54"/>
    <w:rsid w:val="00757766"/>
    <w:rsid w:val="00760699"/>
    <w:rsid w:val="007B5144"/>
    <w:rsid w:val="007D74AB"/>
    <w:rsid w:val="007F6686"/>
    <w:rsid w:val="00805B05"/>
    <w:rsid w:val="00806478"/>
    <w:rsid w:val="008438F9"/>
    <w:rsid w:val="00870F6D"/>
    <w:rsid w:val="00873336"/>
    <w:rsid w:val="008C65D0"/>
    <w:rsid w:val="008F207F"/>
    <w:rsid w:val="009446DC"/>
    <w:rsid w:val="00954B7A"/>
    <w:rsid w:val="0095514B"/>
    <w:rsid w:val="009978BC"/>
    <w:rsid w:val="009A3329"/>
    <w:rsid w:val="009B4BD7"/>
    <w:rsid w:val="00A07823"/>
    <w:rsid w:val="00A237FD"/>
    <w:rsid w:val="00A26553"/>
    <w:rsid w:val="00A41FC3"/>
    <w:rsid w:val="00A42835"/>
    <w:rsid w:val="00A552AD"/>
    <w:rsid w:val="00A5641F"/>
    <w:rsid w:val="00A60C2C"/>
    <w:rsid w:val="00A67CBE"/>
    <w:rsid w:val="00B87BE5"/>
    <w:rsid w:val="00B95F7C"/>
    <w:rsid w:val="00BA29FB"/>
    <w:rsid w:val="00BD418C"/>
    <w:rsid w:val="00C16924"/>
    <w:rsid w:val="00C313CD"/>
    <w:rsid w:val="00C732C1"/>
    <w:rsid w:val="00C8196A"/>
    <w:rsid w:val="00C96113"/>
    <w:rsid w:val="00CB26E5"/>
    <w:rsid w:val="00CE71C6"/>
    <w:rsid w:val="00D461E7"/>
    <w:rsid w:val="00D845B4"/>
    <w:rsid w:val="00DB1E5D"/>
    <w:rsid w:val="00DB3737"/>
    <w:rsid w:val="00DE2174"/>
    <w:rsid w:val="00DE666A"/>
    <w:rsid w:val="00DF209A"/>
    <w:rsid w:val="00E32E80"/>
    <w:rsid w:val="00E357E0"/>
    <w:rsid w:val="00E44261"/>
    <w:rsid w:val="00E45611"/>
    <w:rsid w:val="00E45ADF"/>
    <w:rsid w:val="00E551E1"/>
    <w:rsid w:val="00E845F6"/>
    <w:rsid w:val="00EA0819"/>
    <w:rsid w:val="00EA218A"/>
    <w:rsid w:val="00ED6A6C"/>
    <w:rsid w:val="00EE40DD"/>
    <w:rsid w:val="00F05D07"/>
    <w:rsid w:val="00F47312"/>
    <w:rsid w:val="00F61B9A"/>
    <w:rsid w:val="00F83E03"/>
    <w:rsid w:val="00F86AD0"/>
    <w:rsid w:val="00F91FD6"/>
    <w:rsid w:val="00FB065E"/>
    <w:rsid w:val="00FE7E88"/>
    <w:rsid w:val="00FF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EC79"/>
  <w15:chartTrackingRefBased/>
  <w15:docId w15:val="{1D0B399F-C8BA-49DC-A987-1D3890E3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9A"/>
    <w:pPr>
      <w:spacing w:line="259" w:lineRule="auto"/>
    </w:pPr>
    <w:rPr>
      <w:kern w:val="0"/>
      <w:sz w:val="22"/>
      <w:szCs w:val="22"/>
      <w14:ligatures w14:val="none"/>
    </w:rPr>
  </w:style>
  <w:style w:type="paragraph" w:styleId="Balk1">
    <w:name w:val="heading 1"/>
    <w:basedOn w:val="Normal"/>
    <w:next w:val="Normal"/>
    <w:link w:val="Balk1Char"/>
    <w:uiPriority w:val="9"/>
    <w:qFormat/>
    <w:rsid w:val="00DF2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2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209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209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209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209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209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209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209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209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209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209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209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209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209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209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209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209A"/>
    <w:rPr>
      <w:rFonts w:eastAsiaTheme="majorEastAsia" w:cstheme="majorBidi"/>
      <w:color w:val="272727" w:themeColor="text1" w:themeTint="D8"/>
    </w:rPr>
  </w:style>
  <w:style w:type="paragraph" w:styleId="KonuBal">
    <w:name w:val="Title"/>
    <w:basedOn w:val="Normal"/>
    <w:next w:val="Normal"/>
    <w:link w:val="KonuBalChar"/>
    <w:uiPriority w:val="10"/>
    <w:qFormat/>
    <w:rsid w:val="00DF2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209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209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209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209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209A"/>
    <w:rPr>
      <w:i/>
      <w:iCs/>
      <w:color w:val="404040" w:themeColor="text1" w:themeTint="BF"/>
    </w:rPr>
  </w:style>
  <w:style w:type="paragraph" w:styleId="ListeParagraf">
    <w:name w:val="List Paragraph"/>
    <w:aliases w:val="Akapit z listą BS,Bullet1,Bullets,IBL List Paragraph,List Paragraph (numbered (a)),List Paragraph 1,List Paragraph nowy,List Paragraph-ExecSummary,List Paragraph1,List_Paragraph,Multilevel para_II,Numbered List Paragraph,References,PAD"/>
    <w:basedOn w:val="Normal"/>
    <w:link w:val="ListeParagrafChar"/>
    <w:uiPriority w:val="34"/>
    <w:qFormat/>
    <w:rsid w:val="00DF209A"/>
    <w:pPr>
      <w:ind w:left="720"/>
      <w:contextualSpacing/>
    </w:pPr>
  </w:style>
  <w:style w:type="character" w:styleId="GlVurgulama">
    <w:name w:val="Intense Emphasis"/>
    <w:basedOn w:val="VarsaylanParagrafYazTipi"/>
    <w:uiPriority w:val="21"/>
    <w:qFormat/>
    <w:rsid w:val="00DF209A"/>
    <w:rPr>
      <w:i/>
      <w:iCs/>
      <w:color w:val="0F4761" w:themeColor="accent1" w:themeShade="BF"/>
    </w:rPr>
  </w:style>
  <w:style w:type="paragraph" w:styleId="GlAlnt">
    <w:name w:val="Intense Quote"/>
    <w:basedOn w:val="Normal"/>
    <w:next w:val="Normal"/>
    <w:link w:val="GlAlntChar"/>
    <w:uiPriority w:val="30"/>
    <w:qFormat/>
    <w:rsid w:val="00DF2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209A"/>
    <w:rPr>
      <w:i/>
      <w:iCs/>
      <w:color w:val="0F4761" w:themeColor="accent1" w:themeShade="BF"/>
    </w:rPr>
  </w:style>
  <w:style w:type="character" w:styleId="GlBavuru">
    <w:name w:val="Intense Reference"/>
    <w:basedOn w:val="VarsaylanParagrafYazTipi"/>
    <w:uiPriority w:val="32"/>
    <w:qFormat/>
    <w:rsid w:val="00DF209A"/>
    <w:rPr>
      <w:b/>
      <w:bCs/>
      <w:smallCaps/>
      <w:color w:val="0F4761" w:themeColor="accent1" w:themeShade="BF"/>
      <w:spacing w:val="5"/>
    </w:rPr>
  </w:style>
  <w:style w:type="character" w:customStyle="1" w:styleId="ListeParagrafChar">
    <w:name w:val="Liste Paragraf Char"/>
    <w:aliases w:val="Akapit z listą BS Char,Bullet1 Char,Bullets Char,IBL List Paragraph Char,List Paragraph (numbered (a)) Char,List Paragraph 1 Char,List Paragraph nowy Char,List Paragraph-ExecSummary Char,List Paragraph1 Char,List_Paragraph Char"/>
    <w:link w:val="ListeParagraf"/>
    <w:uiPriority w:val="34"/>
    <w:qFormat/>
    <w:rsid w:val="00DF209A"/>
  </w:style>
  <w:style w:type="paragraph" w:customStyle="1" w:styleId="FirstLevel">
    <w:name w:val="First Level"/>
    <w:basedOn w:val="ListeParagraf"/>
    <w:link w:val="FirstLevelChar"/>
    <w:qFormat/>
    <w:rsid w:val="00DF209A"/>
    <w:pPr>
      <w:numPr>
        <w:numId w:val="1"/>
      </w:numPr>
      <w:spacing w:before="120" w:after="120" w:line="240" w:lineRule="auto"/>
      <w:jc w:val="both"/>
    </w:pPr>
    <w:rPr>
      <w:rFonts w:ascii="Times New Roman" w:hAnsi="Times New Roman" w:cs="Times New Roman"/>
      <w:b/>
    </w:rPr>
  </w:style>
  <w:style w:type="character" w:customStyle="1" w:styleId="FirstLevelChar">
    <w:name w:val="First Level Char"/>
    <w:basedOn w:val="ListeParagrafChar"/>
    <w:link w:val="FirstLevel"/>
    <w:rsid w:val="00DF209A"/>
    <w:rPr>
      <w:rFonts w:ascii="Times New Roman" w:hAnsi="Times New Roman" w:cs="Times New Roman"/>
      <w:b/>
      <w:kern w:val="0"/>
      <w14:ligatures w14:val="none"/>
    </w:rPr>
  </w:style>
  <w:style w:type="paragraph" w:styleId="AltBilgi">
    <w:name w:val="footer"/>
    <w:basedOn w:val="Normal"/>
    <w:link w:val="AltBilgiChar"/>
    <w:uiPriority w:val="99"/>
    <w:unhideWhenUsed/>
    <w:rsid w:val="00E45611"/>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45611"/>
    <w:rPr>
      <w:kern w:val="0"/>
      <w:sz w:val="22"/>
      <w:szCs w:val="22"/>
      <w14:ligatures w14:val="none"/>
    </w:rPr>
  </w:style>
  <w:style w:type="paragraph" w:styleId="stBilgi">
    <w:name w:val="header"/>
    <w:basedOn w:val="Normal"/>
    <w:link w:val="stBilgiChar"/>
    <w:uiPriority w:val="99"/>
    <w:unhideWhenUsed/>
    <w:rsid w:val="00327CE8"/>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327CE8"/>
    <w:rPr>
      <w:kern w:val="0"/>
      <w:sz w:val="22"/>
      <w:szCs w:val="22"/>
      <w14:ligatures w14:val="none"/>
    </w:rPr>
  </w:style>
  <w:style w:type="character" w:styleId="Gl">
    <w:name w:val="Strong"/>
    <w:basedOn w:val="VarsaylanParagrafYazTipi"/>
    <w:uiPriority w:val="22"/>
    <w:qFormat/>
    <w:rsid w:val="00FF14A4"/>
    <w:rPr>
      <w:b/>
      <w:bCs/>
    </w:rPr>
  </w:style>
  <w:style w:type="table" w:styleId="TabloKlavuzu">
    <w:name w:val="Table Grid"/>
    <w:basedOn w:val="NormalTablo"/>
    <w:uiPriority w:val="39"/>
    <w:rsid w:val="00CB2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D74A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D74AB"/>
    <w:rPr>
      <w:kern w:val="0"/>
      <w:sz w:val="20"/>
      <w:szCs w:val="20"/>
      <w14:ligatures w14:val="none"/>
    </w:rPr>
  </w:style>
  <w:style w:type="character" w:styleId="DipnotBavurusu">
    <w:name w:val="footnote reference"/>
    <w:basedOn w:val="VarsaylanParagrafYazTipi"/>
    <w:uiPriority w:val="99"/>
    <w:semiHidden/>
    <w:unhideWhenUsed/>
    <w:rsid w:val="007D74AB"/>
    <w:rPr>
      <w:vertAlign w:val="superscript"/>
    </w:rPr>
  </w:style>
  <w:style w:type="paragraph" w:styleId="NormalWeb">
    <w:name w:val="Normal (Web)"/>
    <w:basedOn w:val="Normal"/>
    <w:uiPriority w:val="99"/>
    <w:semiHidden/>
    <w:unhideWhenUsed/>
    <w:rsid w:val="003C0CA2"/>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38633">
      <w:bodyDiv w:val="1"/>
      <w:marLeft w:val="0"/>
      <w:marRight w:val="0"/>
      <w:marTop w:val="0"/>
      <w:marBottom w:val="0"/>
      <w:divBdr>
        <w:top w:val="none" w:sz="0" w:space="0" w:color="auto"/>
        <w:left w:val="none" w:sz="0" w:space="0" w:color="auto"/>
        <w:bottom w:val="none" w:sz="0" w:space="0" w:color="auto"/>
        <w:right w:val="none" w:sz="0" w:space="0" w:color="auto"/>
      </w:divBdr>
    </w:div>
    <w:div w:id="884558307">
      <w:bodyDiv w:val="1"/>
      <w:marLeft w:val="0"/>
      <w:marRight w:val="0"/>
      <w:marTop w:val="0"/>
      <w:marBottom w:val="0"/>
      <w:divBdr>
        <w:top w:val="none" w:sz="0" w:space="0" w:color="auto"/>
        <w:left w:val="none" w:sz="0" w:space="0" w:color="auto"/>
        <w:bottom w:val="none" w:sz="0" w:space="0" w:color="auto"/>
        <w:right w:val="none" w:sz="0" w:space="0" w:color="auto"/>
      </w:divBdr>
    </w:div>
    <w:div w:id="16752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38C0E-BE3B-4C6F-8CE7-1A873AE583AF}">
  <ds:schemaRefs>
    <ds:schemaRef ds:uri="http://schemas.openxmlformats.org/officeDocument/2006/bibliography"/>
  </ds:schemaRefs>
</ds:datastoreItem>
</file>

<file path=customXml/itemProps2.xml><?xml version="1.0" encoding="utf-8"?>
<ds:datastoreItem xmlns:ds="http://schemas.openxmlformats.org/officeDocument/2006/customXml" ds:itemID="{881BBD15-B08D-4C6D-B162-F171C5F102B7}">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BD437E09-5820-4B99-AE4E-AC16CB860379}">
  <ds:schemaRefs>
    <ds:schemaRef ds:uri="http://schemas.microsoft.com/sharepoint/v3/contenttype/forms"/>
  </ds:schemaRefs>
</ds:datastoreItem>
</file>

<file path=customXml/itemProps4.xml><?xml version="1.0" encoding="utf-8"?>
<ds:datastoreItem xmlns:ds="http://schemas.openxmlformats.org/officeDocument/2006/customXml" ds:itemID="{531DB601-70CC-486C-B7B5-6B841693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5335</Words>
  <Characters>40921</Characters>
  <Application>Microsoft Office Word</Application>
  <DocSecurity>0</DocSecurity>
  <Lines>1573</Lines>
  <Paragraphs>943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 Blancas Mendivil</dc:creator>
  <cp:keywords/>
  <dc:description/>
  <cp:lastModifiedBy>Can Çalış</cp:lastModifiedBy>
  <cp:revision>3</cp:revision>
  <dcterms:created xsi:type="dcterms:W3CDTF">2026-01-21T07:04:00Z</dcterms:created>
  <dcterms:modified xsi:type="dcterms:W3CDTF">2026-01-26T13:42:00Z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1fa445ba,7e2fe736,3af3fbfb</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2025-11-03T21:39:43Z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bfdd25c1-2cea-463a-a81f-d2d92ed0963f</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ies>
</file>