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1E" w:rsidRPr="00A72EA5" w:rsidRDefault="00566F1E" w:rsidP="00566F1E">
      <w:pPr>
        <w:jc w:val="center"/>
        <w:rPr>
          <w:rFonts w:ascii="Times New Roman" w:hAnsi="Times New Roman" w:cs="Times New Roman"/>
          <w:b/>
          <w:color w:val="000000" w:themeColor="text1"/>
          <w:sz w:val="28"/>
          <w:szCs w:val="28"/>
        </w:rPr>
      </w:pPr>
      <w:bookmarkStart w:id="0" w:name="_GoBack"/>
      <w:bookmarkEnd w:id="0"/>
      <w:r w:rsidRPr="00A72EA5">
        <w:rPr>
          <w:rFonts w:ascii="Times New Roman" w:hAnsi="Times New Roman" w:cs="Times New Roman"/>
          <w:b/>
          <w:color w:val="000000" w:themeColor="text1"/>
          <w:sz w:val="28"/>
          <w:szCs w:val="28"/>
        </w:rPr>
        <w:t>KEMALPAŞA ORGANİZE SANAYİ BÖLGESİ DEMİRYOLU BAĞLANTI HATTI</w:t>
      </w:r>
    </w:p>
    <w:p w:rsidR="00566F1E" w:rsidRDefault="00566F1E" w:rsidP="00566F1E">
      <w:pPr>
        <w:jc w:val="center"/>
        <w:rPr>
          <w:b/>
          <w:color w:val="000000" w:themeColor="text1"/>
          <w:sz w:val="28"/>
          <w:szCs w:val="28"/>
        </w:rPr>
      </w:pPr>
    </w:p>
    <w:p w:rsidR="00566F1E" w:rsidRPr="00F335D6" w:rsidRDefault="00566F1E" w:rsidP="00566F1E">
      <w:pPr>
        <w:jc w:val="both"/>
        <w:rPr>
          <w:b/>
          <w:color w:val="000000" w:themeColor="text1"/>
          <w:sz w:val="28"/>
          <w:szCs w:val="28"/>
        </w:rPr>
      </w:pPr>
      <w:r w:rsidRPr="00A72EA5">
        <w:rPr>
          <w:b/>
          <w:noProof/>
          <w:color w:val="000000" w:themeColor="text1"/>
          <w:sz w:val="28"/>
          <w:szCs w:val="28"/>
          <w:lang w:eastAsia="tr-TR"/>
        </w:rPr>
        <w:drawing>
          <wp:inline distT="0" distB="0" distL="0" distR="0" wp14:anchorId="56CB333F" wp14:editId="4C79E4D5">
            <wp:extent cx="5760720" cy="2933700"/>
            <wp:effectExtent l="0" t="0" r="0" b="0"/>
            <wp:docPr id="5" name="Resim 4"/>
            <wp:cNvGraphicFramePr/>
            <a:graphic xmlns:a="http://schemas.openxmlformats.org/drawingml/2006/main">
              <a:graphicData uri="http://schemas.openxmlformats.org/drawingml/2006/picture">
                <pic:pic xmlns:pic="http://schemas.openxmlformats.org/drawingml/2006/picture">
                  <pic:nvPicPr>
                    <pic:cNvPr id="5" name="Resim 4"/>
                    <pic:cNvPicPr/>
                  </pic:nvPicPr>
                  <pic:blipFill>
                    <a:blip r:embed="rId4"/>
                    <a:stretch>
                      <a:fillRect/>
                    </a:stretch>
                  </pic:blipFill>
                  <pic:spPr>
                    <a:xfrm>
                      <a:off x="0" y="0"/>
                      <a:ext cx="5760720" cy="2933700"/>
                    </a:xfrm>
                    <a:prstGeom prst="rect">
                      <a:avLst/>
                    </a:prstGeom>
                  </pic:spPr>
                </pic:pic>
              </a:graphicData>
            </a:graphic>
          </wp:inline>
        </w:drawing>
      </w:r>
    </w:p>
    <w:p w:rsidR="00566F1E" w:rsidRDefault="00566F1E" w:rsidP="00566F1E">
      <w:pPr>
        <w:spacing w:after="0" w:line="240" w:lineRule="auto"/>
        <w:rPr>
          <w:b/>
          <w:bCs/>
          <w:color w:val="FF0000"/>
          <w:sz w:val="24"/>
          <w:szCs w:val="24"/>
        </w:rPr>
      </w:pPr>
    </w:p>
    <w:p w:rsidR="00566F1E" w:rsidRPr="00F335D6" w:rsidRDefault="00566F1E" w:rsidP="00566F1E">
      <w:pPr>
        <w:spacing w:after="0" w:line="240" w:lineRule="auto"/>
        <w:rPr>
          <w:rFonts w:ascii="Times New Roman" w:eastAsia="Times New Roman" w:hAnsi="Times New Roman" w:cs="Times New Roman"/>
          <w:b/>
          <w:bCs/>
          <w:color w:val="000000" w:themeColor="text1"/>
          <w:sz w:val="24"/>
          <w:szCs w:val="24"/>
        </w:rPr>
      </w:pPr>
      <w:r w:rsidRPr="00F335D6">
        <w:rPr>
          <w:rFonts w:ascii="Times New Roman" w:eastAsia="Times New Roman" w:hAnsi="Times New Roman" w:cs="Times New Roman"/>
          <w:b/>
          <w:bCs/>
          <w:color w:val="000000" w:themeColor="text1"/>
          <w:sz w:val="24"/>
          <w:szCs w:val="24"/>
        </w:rPr>
        <w:t>Konumu</w:t>
      </w:r>
      <w:r w:rsidRPr="00F335D6">
        <w:rPr>
          <w:rFonts w:ascii="Times New Roman" w:eastAsia="Times New Roman" w:hAnsi="Times New Roman" w:cs="Times New Roman"/>
          <w:b/>
          <w:bCs/>
          <w:color w:val="000000" w:themeColor="text1"/>
          <w:sz w:val="24"/>
          <w:szCs w:val="24"/>
        </w:rPr>
        <w:tab/>
      </w:r>
      <w:r w:rsidRPr="00F335D6">
        <w:rPr>
          <w:rFonts w:ascii="Times New Roman" w:eastAsia="Times New Roman" w:hAnsi="Times New Roman" w:cs="Times New Roman"/>
          <w:b/>
          <w:bCs/>
          <w:color w:val="000000" w:themeColor="text1"/>
          <w:sz w:val="24"/>
          <w:szCs w:val="24"/>
        </w:rPr>
        <w:tab/>
      </w:r>
      <w:r w:rsidRPr="00F335D6">
        <w:rPr>
          <w:rFonts w:ascii="Times New Roman" w:eastAsia="Times New Roman" w:hAnsi="Times New Roman" w:cs="Times New Roman"/>
          <w:b/>
          <w:bCs/>
          <w:color w:val="000000" w:themeColor="text1"/>
          <w:sz w:val="24"/>
          <w:szCs w:val="24"/>
        </w:rPr>
        <w:tab/>
      </w:r>
      <w:r w:rsidRPr="00F335D6">
        <w:rPr>
          <w:rFonts w:ascii="Times New Roman" w:eastAsia="Times New Roman" w:hAnsi="Times New Roman" w:cs="Times New Roman"/>
          <w:bCs/>
          <w:color w:val="000000" w:themeColor="text1"/>
          <w:sz w:val="24"/>
          <w:szCs w:val="24"/>
        </w:rPr>
        <w:t>: İzmir</w:t>
      </w:r>
      <w:r w:rsidRPr="00F335D6">
        <w:rPr>
          <w:rFonts w:ascii="Times New Roman" w:eastAsia="Times New Roman" w:hAnsi="Times New Roman" w:cs="Times New Roman"/>
          <w:b/>
          <w:bCs/>
          <w:color w:val="000000" w:themeColor="text1"/>
          <w:sz w:val="24"/>
          <w:szCs w:val="24"/>
        </w:rPr>
        <w:t xml:space="preserve"> </w:t>
      </w:r>
    </w:p>
    <w:p w:rsidR="00566F1E" w:rsidRPr="00130FC0" w:rsidRDefault="00566F1E" w:rsidP="00566F1E">
      <w:pPr>
        <w:spacing w:after="0" w:line="240" w:lineRule="auto"/>
        <w:rPr>
          <w:rFonts w:ascii="Times New Roman" w:eastAsia="Times New Roman" w:hAnsi="Times New Roman" w:cs="Times New Roman"/>
          <w:b/>
          <w:bCs/>
          <w:color w:val="FF0000"/>
          <w:sz w:val="24"/>
          <w:szCs w:val="24"/>
        </w:rPr>
      </w:pPr>
      <w:r w:rsidRPr="00F335D6">
        <w:rPr>
          <w:rFonts w:ascii="Times New Roman" w:eastAsia="Times New Roman" w:hAnsi="Times New Roman" w:cs="Times New Roman"/>
          <w:b/>
          <w:bCs/>
          <w:color w:val="000000" w:themeColor="text1"/>
          <w:sz w:val="24"/>
          <w:szCs w:val="24"/>
        </w:rPr>
        <w:t>Başlama-bitiş tarihi</w:t>
      </w:r>
      <w:r w:rsidRPr="00130FC0">
        <w:rPr>
          <w:rFonts w:ascii="Times New Roman" w:eastAsia="Times New Roman" w:hAnsi="Times New Roman" w:cs="Times New Roman"/>
          <w:b/>
          <w:bCs/>
          <w:color w:val="FF0000"/>
          <w:sz w:val="24"/>
          <w:szCs w:val="24"/>
        </w:rPr>
        <w:tab/>
      </w:r>
      <w:r w:rsidRPr="00130FC0">
        <w:rPr>
          <w:rFonts w:ascii="Times New Roman" w:eastAsia="Times New Roman" w:hAnsi="Times New Roman" w:cs="Times New Roman"/>
          <w:b/>
          <w:bCs/>
          <w:color w:val="FF0000"/>
          <w:sz w:val="24"/>
          <w:szCs w:val="24"/>
        </w:rPr>
        <w:tab/>
      </w:r>
      <w:r>
        <w:rPr>
          <w:rFonts w:ascii="Times New Roman" w:eastAsia="Times New Roman" w:hAnsi="Times New Roman" w:cs="Times New Roman"/>
          <w:bCs/>
          <w:color w:val="000000" w:themeColor="text1"/>
          <w:sz w:val="24"/>
          <w:szCs w:val="24"/>
        </w:rPr>
        <w:t>: 2007-</w:t>
      </w:r>
      <w:r w:rsidRPr="00B43B3D">
        <w:rPr>
          <w:rFonts w:ascii="Times New Roman" w:eastAsia="Times New Roman" w:hAnsi="Times New Roman" w:cs="Times New Roman"/>
          <w:bCs/>
          <w:color w:val="000000" w:themeColor="text1"/>
          <w:sz w:val="24"/>
          <w:szCs w:val="24"/>
        </w:rPr>
        <w:t>201</w:t>
      </w:r>
      <w:r>
        <w:rPr>
          <w:rFonts w:ascii="Times New Roman" w:eastAsia="Times New Roman" w:hAnsi="Times New Roman" w:cs="Times New Roman"/>
          <w:bCs/>
          <w:color w:val="000000" w:themeColor="text1"/>
          <w:sz w:val="24"/>
          <w:szCs w:val="24"/>
        </w:rPr>
        <w:t>6</w:t>
      </w:r>
    </w:p>
    <w:p w:rsidR="00566F1E" w:rsidRPr="00130FC0" w:rsidRDefault="00566F1E" w:rsidP="00566F1E">
      <w:pPr>
        <w:tabs>
          <w:tab w:val="left" w:pos="0"/>
        </w:tabs>
        <w:autoSpaceDE w:val="0"/>
        <w:autoSpaceDN w:val="0"/>
        <w:adjustRightInd w:val="0"/>
        <w:spacing w:after="120" w:line="240" w:lineRule="auto"/>
        <w:ind w:hanging="1"/>
        <w:rPr>
          <w:rFonts w:ascii="Times New Roman" w:hAnsi="Times New Roman" w:cs="Times New Roman"/>
          <w:sz w:val="24"/>
          <w:szCs w:val="24"/>
        </w:rPr>
      </w:pPr>
    </w:p>
    <w:p w:rsidR="00566F1E" w:rsidRPr="00C7102A" w:rsidRDefault="00566F1E" w:rsidP="00566F1E">
      <w:pPr>
        <w:pStyle w:val="AralkYok"/>
        <w:rPr>
          <w:rFonts w:ascii="Times New Roman" w:hAnsi="Times New Roman" w:cs="Times New Roman"/>
          <w:sz w:val="24"/>
          <w:szCs w:val="24"/>
        </w:rPr>
      </w:pPr>
      <w:r w:rsidRPr="00C7102A">
        <w:rPr>
          <w:rFonts w:ascii="Times New Roman" w:hAnsi="Times New Roman" w:cs="Times New Roman"/>
          <w:sz w:val="24"/>
          <w:szCs w:val="24"/>
        </w:rPr>
        <w:t>İzmir’den İç Anadolu’ya açılan koridor üzerinde yer alması ve sanayi bölgelerine olan yakınlığı nedeniyle Türkiye’nin en önemli üretim ve ihracat merkezlerinden biri olan, toplam 680 hektar alan üzerine kurulmuş ve şu anda aktif 517 adet firmanın faaliyet gösterdiği (daha sonra 927 adet firma faaliyeti planlanmaktadır) ve yıllık 3 milyon ton kapasitesi olan Kemalpaşa Organize Sanayi Bölgesi ile Manisa-Turgutlu arasında işletmede olan mevcut demiryolu bağlantısı hattı üzerinden hammadde ve ürünlerin ulusal demiryolu ağına taşınması hedeflenmiştir.</w:t>
      </w:r>
    </w:p>
    <w:p w:rsidR="00566F1E" w:rsidRPr="00C7102A" w:rsidRDefault="00566F1E" w:rsidP="00566F1E">
      <w:pPr>
        <w:pStyle w:val="AralkYok"/>
        <w:rPr>
          <w:rFonts w:ascii="Times New Roman" w:hAnsi="Times New Roman" w:cs="Times New Roman"/>
          <w:sz w:val="24"/>
          <w:szCs w:val="24"/>
        </w:rPr>
      </w:pPr>
    </w:p>
    <w:p w:rsidR="00566F1E" w:rsidRDefault="00566F1E" w:rsidP="00566F1E">
      <w:pPr>
        <w:tabs>
          <w:tab w:val="left" w:pos="284"/>
        </w:tabs>
        <w:spacing w:after="0" w:line="240" w:lineRule="auto"/>
        <w:jc w:val="both"/>
        <w:rPr>
          <w:rFonts w:ascii="Times New Roman" w:eastAsia="Times New Roman" w:hAnsi="Times New Roman" w:cs="Times New Roman"/>
          <w:bCs/>
          <w:sz w:val="24"/>
          <w:szCs w:val="24"/>
        </w:rPr>
      </w:pPr>
      <w:r w:rsidRPr="00C7102A">
        <w:rPr>
          <w:rFonts w:ascii="Times New Roman" w:hAnsi="Times New Roman" w:cs="Times New Roman"/>
          <w:sz w:val="24"/>
          <w:szCs w:val="24"/>
        </w:rPr>
        <w:t>Kemalpaşa OSB Demiryolu Bağlantı Hattı İnşaatı 16.02.2016 tarihinde tamamlanmış olup; 17.02.2016 tarihinde TCDD İşletmesi Genel Müdürlüğü'ne Devir Protokolü ile devredilmiştir. Yapım işinin Kesin Kabulü 25.10.2017 tarihinde yapılmıştır.</w:t>
      </w:r>
      <w:r>
        <w:rPr>
          <w:rFonts w:ascii="Times New Roman" w:hAnsi="Times New Roman" w:cs="Times New Roman"/>
          <w:sz w:val="24"/>
          <w:szCs w:val="24"/>
        </w:rPr>
        <w:t xml:space="preserve"> </w:t>
      </w:r>
    </w:p>
    <w:p w:rsidR="00566F1E" w:rsidRDefault="00566F1E" w:rsidP="00566F1E">
      <w:pPr>
        <w:pStyle w:val="AralkYok"/>
        <w:rPr>
          <w:rFonts w:ascii="Times New Roman" w:hAnsi="Times New Roman" w:cs="Times New Roman"/>
          <w:sz w:val="24"/>
          <w:szCs w:val="24"/>
        </w:rPr>
      </w:pPr>
    </w:p>
    <w:p w:rsidR="00794107" w:rsidRPr="00566F1E" w:rsidRDefault="00794107" w:rsidP="00566F1E"/>
    <w:sectPr w:rsidR="00794107" w:rsidRPr="00566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B7"/>
    <w:rsid w:val="000F1FB7"/>
    <w:rsid w:val="00566F1E"/>
    <w:rsid w:val="00794107"/>
    <w:rsid w:val="00866DAB"/>
    <w:rsid w:val="00AA22EE"/>
    <w:rsid w:val="00CD2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E3C81-08F2-44A4-AB30-451FED33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F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Gövde Metin"/>
    <w:basedOn w:val="Normal"/>
    <w:link w:val="AralkYokChar"/>
    <w:uiPriority w:val="1"/>
    <w:qFormat/>
    <w:rsid w:val="000F1FB7"/>
    <w:pPr>
      <w:spacing w:after="0" w:line="240" w:lineRule="auto"/>
      <w:jc w:val="both"/>
    </w:pPr>
    <w:rPr>
      <w:rFonts w:eastAsiaTheme="minorEastAsia"/>
      <w:sz w:val="20"/>
      <w:szCs w:val="20"/>
      <w:lang w:bidi="en-US"/>
    </w:rPr>
  </w:style>
  <w:style w:type="character" w:customStyle="1" w:styleId="AralkYokChar">
    <w:name w:val="Aralık Yok Char"/>
    <w:aliases w:val="Gövde Metin Char"/>
    <w:basedOn w:val="VarsaylanParagrafYazTipi"/>
    <w:link w:val="AralkYok"/>
    <w:uiPriority w:val="1"/>
    <w:rsid w:val="000F1FB7"/>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Kavun</dc:creator>
  <cp:keywords/>
  <dc:description/>
  <cp:lastModifiedBy>Buğrahan Açıkgöz</cp:lastModifiedBy>
  <cp:revision>2</cp:revision>
  <dcterms:created xsi:type="dcterms:W3CDTF">2019-09-24T12:35:00Z</dcterms:created>
  <dcterms:modified xsi:type="dcterms:W3CDTF">2019-09-24T12:35:00Z</dcterms:modified>
</cp:coreProperties>
</file>