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19B3" w:rsidRPr="00F335D6" w:rsidRDefault="001119B3" w:rsidP="001119B3">
      <w:pPr>
        <w:tabs>
          <w:tab w:val="left" w:pos="2880"/>
          <w:tab w:val="left" w:pos="5040"/>
        </w:tabs>
        <w:ind w:right="-48"/>
        <w:jc w:val="center"/>
        <w:rPr>
          <w:rFonts w:cstheme="minorHAnsi"/>
          <w:b/>
          <w:bCs/>
          <w:color w:val="000000" w:themeColor="text1"/>
          <w:sz w:val="26"/>
          <w:szCs w:val="26"/>
        </w:rPr>
      </w:pPr>
      <w:bookmarkStart w:id="0" w:name="_GoBack"/>
      <w:bookmarkEnd w:id="0"/>
      <w:r w:rsidRPr="00F335D6">
        <w:rPr>
          <w:noProof/>
          <w:color w:val="000000" w:themeColor="text1"/>
          <w:lang w:eastAsia="tr-TR"/>
        </w:rPr>
        <w:drawing>
          <wp:anchor distT="0" distB="0" distL="114300" distR="114300" simplePos="0" relativeHeight="251659264" behindDoc="1" locked="0" layoutInCell="1" allowOverlap="1" wp14:anchorId="7DD82405" wp14:editId="67EADB36">
            <wp:simplePos x="0" y="0"/>
            <wp:positionH relativeFrom="margin">
              <wp:align>left</wp:align>
            </wp:positionH>
            <wp:positionV relativeFrom="paragraph">
              <wp:posOffset>441506</wp:posOffset>
            </wp:positionV>
            <wp:extent cx="6219825" cy="2581275"/>
            <wp:effectExtent l="0" t="0" r="9525" b="9525"/>
            <wp:wrapTight wrapText="bothSides">
              <wp:wrapPolygon edited="0">
                <wp:start x="0" y="0"/>
                <wp:lineTo x="0" y="21520"/>
                <wp:lineTo x="21567" y="21520"/>
                <wp:lineTo x="21567" y="0"/>
                <wp:lineTo x="0" y="0"/>
              </wp:wrapPolygon>
            </wp:wrapTight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35D6">
        <w:rPr>
          <w:rFonts w:cstheme="minorHAnsi"/>
          <w:b/>
          <w:bCs/>
          <w:color w:val="000000" w:themeColor="text1"/>
          <w:sz w:val="26"/>
          <w:szCs w:val="26"/>
        </w:rPr>
        <w:t xml:space="preserve">TÜRKİYE – GÜRCİSTAN </w:t>
      </w:r>
      <w:r>
        <w:rPr>
          <w:rFonts w:cstheme="minorHAnsi"/>
          <w:b/>
          <w:bCs/>
          <w:color w:val="000000" w:themeColor="text1"/>
          <w:sz w:val="26"/>
          <w:szCs w:val="26"/>
        </w:rPr>
        <w:t>–</w:t>
      </w:r>
      <w:r w:rsidRPr="00F335D6">
        <w:rPr>
          <w:rFonts w:cstheme="minorHAnsi"/>
          <w:b/>
          <w:bCs/>
          <w:color w:val="000000" w:themeColor="text1"/>
          <w:sz w:val="26"/>
          <w:szCs w:val="26"/>
        </w:rPr>
        <w:t xml:space="preserve"> AZERBAYCAN</w:t>
      </w:r>
      <w:r>
        <w:rPr>
          <w:rFonts w:cstheme="minorHAnsi"/>
          <w:b/>
          <w:bCs/>
          <w:color w:val="000000" w:themeColor="text1"/>
          <w:sz w:val="26"/>
          <w:szCs w:val="26"/>
        </w:rPr>
        <w:t xml:space="preserve"> DEMİRYOLU</w:t>
      </w:r>
      <w:r w:rsidRPr="00F335D6">
        <w:rPr>
          <w:rFonts w:cstheme="minorHAnsi"/>
          <w:b/>
          <w:bCs/>
          <w:color w:val="000000" w:themeColor="text1"/>
          <w:sz w:val="26"/>
          <w:szCs w:val="26"/>
        </w:rPr>
        <w:t xml:space="preserve"> (KARS-AHILKELEK-TİFLİS-BAKÜ) (DAP)</w:t>
      </w:r>
    </w:p>
    <w:p w:rsidR="001119B3" w:rsidRDefault="001119B3" w:rsidP="001119B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67FF4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tr-TR"/>
        </w:rPr>
        <w:drawing>
          <wp:inline distT="0" distB="0" distL="0" distR="0" wp14:anchorId="37E88926" wp14:editId="6EE24B2C">
            <wp:extent cx="6199505" cy="2762250"/>
            <wp:effectExtent l="0" t="0" r="0" b="0"/>
            <wp:docPr id="1027" name="Picture 3" descr="C:\Users\buğrahan\Desktop\Bakü-Tiflis-Kars-demiryolu-hattı-açılış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buğrahan\Desktop\Bakü-Tiflis-Kars-demiryolu-hattı-açılışı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490" cy="27635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119B3" w:rsidRDefault="001119B3" w:rsidP="001119B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1119B3" w:rsidRDefault="001119B3" w:rsidP="001119B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1119B3" w:rsidRPr="00F335D6" w:rsidRDefault="001119B3" w:rsidP="001119B3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F335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Konumu</w:t>
      </w:r>
      <w:r w:rsidRPr="00F335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F335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F335D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: Ardahan-Kars</w:t>
      </w:r>
    </w:p>
    <w:p w:rsidR="001119B3" w:rsidRPr="00F335D6" w:rsidRDefault="001119B3" w:rsidP="001119B3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F335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Başlama-bitiş tarihi</w:t>
      </w:r>
      <w:r w:rsidRPr="00F335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F335D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: 1999-2022</w:t>
      </w:r>
    </w:p>
    <w:p w:rsidR="001119B3" w:rsidRPr="00F335D6" w:rsidRDefault="001119B3" w:rsidP="001119B3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F335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Teknik özellikler</w:t>
      </w:r>
      <w:r w:rsidRPr="00F335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F335D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: 79 km, çift hatlı, sinyalizasyonlu, 120 km/h proje hızı</w:t>
      </w:r>
    </w:p>
    <w:p w:rsidR="001119B3" w:rsidRDefault="001119B3" w:rsidP="001119B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335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Açıklamalar</w:t>
      </w:r>
      <w:r w:rsidRPr="00F335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: </w:t>
      </w:r>
      <w:r w:rsidRPr="00EB4C85">
        <w:rPr>
          <w:rFonts w:ascii="Times New Roman" w:eastAsia="Times New Roman" w:hAnsi="Times New Roman" w:cs="Times New Roman"/>
          <w:bCs/>
          <w:sz w:val="24"/>
          <w:szCs w:val="24"/>
        </w:rPr>
        <w:t xml:space="preserve">Hat işletmeye alındığında yıllık 1 milyon yolcu ve 6,5 milyon ton yük taşıma kapasitesine sahip olacaktır. 2034 yılı sonunda ise 3 milyon yolcu ve 17 milyon ton yük taşıma kapasitesine ulaşacaktır. </w:t>
      </w:r>
    </w:p>
    <w:p w:rsidR="001119B3" w:rsidRDefault="001119B3" w:rsidP="001119B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119B3" w:rsidRPr="002C327E" w:rsidRDefault="001119B3" w:rsidP="001119B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2C327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İş kapsamında çift hat olarak planlan 6 km’lik Akyazı-Kars hattında sanat yapıları tamamlanmış olup, tek hat üzerinden banliyö hizmetleri verilmeye başlanmıştır. Ayrıca Kars Garı tamamlanmış ve TCDD’ye devir teslim işlemleri gerçekleştirilmiştir.</w:t>
      </w:r>
    </w:p>
    <w:p w:rsidR="00794107" w:rsidRDefault="001119B3" w:rsidP="00067ACC">
      <w:pPr>
        <w:pStyle w:val="NormalWeb"/>
        <w:kinsoku w:val="0"/>
        <w:overflowPunct w:val="0"/>
        <w:ind w:right="-48"/>
        <w:jc w:val="both"/>
        <w:textAlignment w:val="baseline"/>
      </w:pPr>
      <w:r w:rsidRPr="002C327E">
        <w:t>30.10.2017 tarihinde Azerbaycan’ın Başkenti Bakü’de yapılan resmi tören ile tek hat dizel işletmeciliğe açılmıştır.</w:t>
      </w:r>
    </w:p>
    <w:sectPr w:rsidR="007941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5DA"/>
    <w:rsid w:val="0006693E"/>
    <w:rsid w:val="00067ACC"/>
    <w:rsid w:val="001119B3"/>
    <w:rsid w:val="005235DA"/>
    <w:rsid w:val="00794107"/>
    <w:rsid w:val="008330DA"/>
    <w:rsid w:val="009F0939"/>
    <w:rsid w:val="00AB48E9"/>
    <w:rsid w:val="00AE7A57"/>
    <w:rsid w:val="00BC1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3DF70D-96C2-4F01-BD59-CAAC8FEC5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19B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aliases w:val="Gövde Metin"/>
    <w:basedOn w:val="Normal"/>
    <w:link w:val="AralkYokChar"/>
    <w:uiPriority w:val="1"/>
    <w:qFormat/>
    <w:rsid w:val="005235DA"/>
    <w:pPr>
      <w:spacing w:after="0" w:line="240" w:lineRule="auto"/>
      <w:jc w:val="both"/>
    </w:pPr>
    <w:rPr>
      <w:rFonts w:eastAsiaTheme="minorEastAsia"/>
      <w:sz w:val="20"/>
      <w:szCs w:val="20"/>
      <w:lang w:bidi="en-US"/>
    </w:rPr>
  </w:style>
  <w:style w:type="character" w:customStyle="1" w:styleId="AralkYokChar">
    <w:name w:val="Aralık Yok Char"/>
    <w:aliases w:val="Gövde Metin Char"/>
    <w:basedOn w:val="VarsaylanParagrafYazTipi"/>
    <w:link w:val="AralkYok"/>
    <w:uiPriority w:val="1"/>
    <w:rsid w:val="005235DA"/>
    <w:rPr>
      <w:rFonts w:eastAsiaTheme="minorEastAsia"/>
      <w:sz w:val="20"/>
      <w:szCs w:val="20"/>
      <w:lang w:bidi="en-US"/>
    </w:rPr>
  </w:style>
  <w:style w:type="paragraph" w:styleId="NormalWeb">
    <w:name w:val="Normal (Web)"/>
    <w:basedOn w:val="Normal"/>
    <w:uiPriority w:val="99"/>
    <w:unhideWhenUsed/>
    <w:rsid w:val="00111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Emrah Kavun</dc:creator>
  <cp:keywords/>
  <dc:description/>
  <cp:lastModifiedBy>Buğrahan Açıkgöz</cp:lastModifiedBy>
  <cp:revision>2</cp:revision>
  <dcterms:created xsi:type="dcterms:W3CDTF">2019-09-24T12:35:00Z</dcterms:created>
  <dcterms:modified xsi:type="dcterms:W3CDTF">2019-09-24T12:35:00Z</dcterms:modified>
</cp:coreProperties>
</file>