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2C108" w14:textId="77777777" w:rsidR="00EC6873" w:rsidRDefault="00EC6873" w:rsidP="00EC6873">
      <w:pPr>
        <w:pStyle w:val="KonuBal"/>
        <w:jc w:val="center"/>
        <w:rPr>
          <w:sz w:val="36"/>
          <w:szCs w:val="36"/>
        </w:rPr>
      </w:pPr>
    </w:p>
    <w:p w14:paraId="0F483898" w14:textId="77777777" w:rsidR="00C12980" w:rsidRPr="008F5929" w:rsidRDefault="00C12980" w:rsidP="00C12980">
      <w:pPr>
        <w:pStyle w:val="KonuBal"/>
        <w:jc w:val="center"/>
        <w:rPr>
          <w:b/>
          <w:bCs/>
          <w:sz w:val="32"/>
          <w:szCs w:val="32"/>
        </w:rPr>
      </w:pPr>
      <w:r w:rsidRPr="008F5929">
        <w:rPr>
          <w:b/>
          <w:bCs/>
          <w:sz w:val="32"/>
          <w:szCs w:val="32"/>
        </w:rPr>
        <w:t>Terms of Reference for</w:t>
      </w:r>
    </w:p>
    <w:p w14:paraId="60AFE773" w14:textId="77777777" w:rsidR="00C12980" w:rsidRPr="008F5929" w:rsidRDefault="00C12980" w:rsidP="00C12980">
      <w:pPr>
        <w:pStyle w:val="KonuBal"/>
        <w:jc w:val="center"/>
        <w:rPr>
          <w:b/>
          <w:bCs/>
          <w:sz w:val="32"/>
          <w:szCs w:val="32"/>
        </w:rPr>
      </w:pPr>
    </w:p>
    <w:p w14:paraId="3C7F20E1" w14:textId="163B3494" w:rsidR="00C12980" w:rsidRPr="008F5929" w:rsidRDefault="00E50C11" w:rsidP="00C12980">
      <w:pPr>
        <w:pStyle w:val="KonuBal"/>
        <w:jc w:val="center"/>
        <w:rPr>
          <w:b/>
          <w:bCs/>
          <w:sz w:val="32"/>
          <w:szCs w:val="32"/>
        </w:rPr>
      </w:pPr>
      <w:r w:rsidRPr="008F5929">
        <w:rPr>
          <w:b/>
          <w:bCs/>
          <w:sz w:val="32"/>
          <w:szCs w:val="32"/>
        </w:rPr>
        <w:t xml:space="preserve">Business Model Recommendations and Preparation of </w:t>
      </w:r>
      <w:r w:rsidR="004D4DCD" w:rsidRPr="008F5929">
        <w:rPr>
          <w:b/>
          <w:bCs/>
          <w:sz w:val="32"/>
          <w:szCs w:val="32"/>
        </w:rPr>
        <w:t>Project</w:t>
      </w:r>
      <w:r w:rsidR="00C12980" w:rsidRPr="008F5929">
        <w:rPr>
          <w:b/>
          <w:bCs/>
          <w:sz w:val="32"/>
          <w:szCs w:val="32"/>
        </w:rPr>
        <w:t xml:space="preserve"> Procurement Strategy</w:t>
      </w:r>
      <w:r w:rsidR="00BE3A81" w:rsidRPr="008F5929">
        <w:rPr>
          <w:b/>
          <w:bCs/>
          <w:sz w:val="32"/>
          <w:szCs w:val="32"/>
        </w:rPr>
        <w:t xml:space="preserve"> for Development (PPSD)</w:t>
      </w:r>
      <w:r w:rsidR="00C12980" w:rsidRPr="008F5929">
        <w:rPr>
          <w:b/>
          <w:bCs/>
          <w:sz w:val="32"/>
          <w:szCs w:val="32"/>
        </w:rPr>
        <w:t xml:space="preserve"> </w:t>
      </w:r>
    </w:p>
    <w:p w14:paraId="1D577FB6" w14:textId="77777777" w:rsidR="00C12980" w:rsidRPr="008F5929" w:rsidRDefault="00C12980" w:rsidP="00C12980">
      <w:pPr>
        <w:pStyle w:val="KonuBal"/>
        <w:jc w:val="center"/>
        <w:rPr>
          <w:b/>
          <w:bCs/>
          <w:sz w:val="32"/>
          <w:szCs w:val="32"/>
        </w:rPr>
      </w:pPr>
    </w:p>
    <w:p w14:paraId="5D482E93" w14:textId="741D2669" w:rsidR="00D50480" w:rsidRPr="008F5929" w:rsidRDefault="00446715" w:rsidP="00C12980">
      <w:pPr>
        <w:pStyle w:val="KonuBal"/>
        <w:jc w:val="center"/>
        <w:rPr>
          <w:b/>
          <w:bCs/>
          <w:sz w:val="32"/>
          <w:szCs w:val="32"/>
        </w:rPr>
      </w:pPr>
      <w:r w:rsidRPr="008F5929">
        <w:rPr>
          <w:b/>
          <w:bCs/>
          <w:sz w:val="32"/>
          <w:szCs w:val="32"/>
        </w:rPr>
        <w:t>Istanbul North Rail Crossing Project (INRAIL)</w:t>
      </w:r>
    </w:p>
    <w:p w14:paraId="794BAA45" w14:textId="77777777" w:rsidR="00EC6873" w:rsidRPr="008F5929" w:rsidRDefault="00EC6873" w:rsidP="00EC6873">
      <w:pPr>
        <w:pStyle w:val="KonuBal"/>
        <w:jc w:val="center"/>
        <w:rPr>
          <w:b/>
          <w:bCs/>
          <w:sz w:val="32"/>
          <w:szCs w:val="32"/>
        </w:rPr>
      </w:pPr>
    </w:p>
    <w:p w14:paraId="4B0F0526" w14:textId="5D74CEE7" w:rsidR="00C12980" w:rsidRPr="008F5929" w:rsidRDefault="00163576" w:rsidP="00C12980">
      <w:pPr>
        <w:pStyle w:val="KonuBal"/>
        <w:jc w:val="center"/>
        <w:rPr>
          <w:b/>
          <w:bCs/>
          <w:sz w:val="32"/>
          <w:szCs w:val="32"/>
        </w:rPr>
      </w:pPr>
      <w:r>
        <w:rPr>
          <w:b/>
          <w:bCs/>
          <w:sz w:val="32"/>
          <w:szCs w:val="32"/>
        </w:rPr>
        <w:t>April</w:t>
      </w:r>
      <w:r w:rsidR="00401645" w:rsidRPr="008F5929">
        <w:rPr>
          <w:b/>
          <w:bCs/>
          <w:sz w:val="32"/>
          <w:szCs w:val="32"/>
        </w:rPr>
        <w:t xml:space="preserve"> 2025</w:t>
      </w:r>
    </w:p>
    <w:sdt>
      <w:sdtPr>
        <w:rPr>
          <w:rFonts w:asciiTheme="minorHAnsi" w:eastAsiaTheme="minorHAnsi" w:hAnsiTheme="minorHAnsi" w:cstheme="minorBidi"/>
          <w:color w:val="auto"/>
          <w:kern w:val="2"/>
          <w:sz w:val="22"/>
          <w:szCs w:val="22"/>
          <w14:ligatures w14:val="standardContextual"/>
        </w:rPr>
        <w:id w:val="-2001344718"/>
        <w:docPartObj>
          <w:docPartGallery w:val="Table of Contents"/>
          <w:docPartUnique/>
        </w:docPartObj>
      </w:sdtPr>
      <w:sdtEndPr>
        <w:rPr>
          <w:b/>
          <w:bCs/>
          <w:noProof/>
        </w:rPr>
      </w:sdtEndPr>
      <w:sdtContent>
        <w:p w14:paraId="238B7786" w14:textId="0E2BE0C8" w:rsidR="00D50480" w:rsidRDefault="00D50480">
          <w:pPr>
            <w:pStyle w:val="TBal"/>
          </w:pPr>
          <w:r>
            <w:t>Contents</w:t>
          </w:r>
        </w:p>
        <w:p w14:paraId="58367186" w14:textId="36E2F6D9" w:rsidR="00484307" w:rsidRDefault="00D50480">
          <w:pPr>
            <w:pStyle w:val="T1"/>
            <w:tabs>
              <w:tab w:val="left" w:pos="440"/>
              <w:tab w:val="right" w:leader="dot" w:pos="9350"/>
            </w:tabs>
            <w:rPr>
              <w:rFonts w:eastAsiaTheme="minorEastAsia"/>
              <w:noProof/>
              <w:sz w:val="24"/>
              <w:szCs w:val="24"/>
            </w:rPr>
          </w:pPr>
          <w:r>
            <w:fldChar w:fldCharType="begin"/>
          </w:r>
          <w:r>
            <w:instrText xml:space="preserve"> TOC \o "1-3" \h \z \u </w:instrText>
          </w:r>
          <w:r>
            <w:fldChar w:fldCharType="separate"/>
          </w:r>
          <w:hyperlink w:anchor="_Toc188986833" w:history="1">
            <w:r w:rsidR="00484307" w:rsidRPr="0034332A">
              <w:rPr>
                <w:rStyle w:val="Kpr"/>
                <w:noProof/>
              </w:rPr>
              <w:t>1.</w:t>
            </w:r>
            <w:r w:rsidR="00484307">
              <w:rPr>
                <w:rFonts w:eastAsiaTheme="minorEastAsia"/>
                <w:noProof/>
                <w:sz w:val="24"/>
                <w:szCs w:val="24"/>
              </w:rPr>
              <w:tab/>
            </w:r>
            <w:r w:rsidR="00484307" w:rsidRPr="0034332A">
              <w:rPr>
                <w:rStyle w:val="Kpr"/>
                <w:noProof/>
              </w:rPr>
              <w:t>Sector Background</w:t>
            </w:r>
            <w:r w:rsidR="00484307">
              <w:rPr>
                <w:noProof/>
                <w:webHidden/>
              </w:rPr>
              <w:tab/>
            </w:r>
            <w:r w:rsidR="00484307">
              <w:rPr>
                <w:noProof/>
                <w:webHidden/>
              </w:rPr>
              <w:fldChar w:fldCharType="begin"/>
            </w:r>
            <w:r w:rsidR="00484307">
              <w:rPr>
                <w:noProof/>
                <w:webHidden/>
              </w:rPr>
              <w:instrText xml:space="preserve"> PAGEREF _Toc188986833 \h </w:instrText>
            </w:r>
            <w:r w:rsidR="00484307">
              <w:rPr>
                <w:noProof/>
                <w:webHidden/>
              </w:rPr>
            </w:r>
            <w:r w:rsidR="00484307">
              <w:rPr>
                <w:noProof/>
                <w:webHidden/>
              </w:rPr>
              <w:fldChar w:fldCharType="separate"/>
            </w:r>
            <w:r w:rsidR="00484307">
              <w:rPr>
                <w:noProof/>
                <w:webHidden/>
              </w:rPr>
              <w:t>2</w:t>
            </w:r>
            <w:r w:rsidR="00484307">
              <w:rPr>
                <w:noProof/>
                <w:webHidden/>
              </w:rPr>
              <w:fldChar w:fldCharType="end"/>
            </w:r>
          </w:hyperlink>
        </w:p>
        <w:p w14:paraId="3BAE0BEE" w14:textId="7D666ABC" w:rsidR="00484307" w:rsidRDefault="00F472C8">
          <w:pPr>
            <w:pStyle w:val="T1"/>
            <w:tabs>
              <w:tab w:val="left" w:pos="440"/>
              <w:tab w:val="right" w:leader="dot" w:pos="9350"/>
            </w:tabs>
            <w:rPr>
              <w:rFonts w:eastAsiaTheme="minorEastAsia"/>
              <w:noProof/>
              <w:sz w:val="24"/>
              <w:szCs w:val="24"/>
            </w:rPr>
          </w:pPr>
          <w:hyperlink w:anchor="_Toc188986834" w:history="1">
            <w:r w:rsidR="00484307" w:rsidRPr="0034332A">
              <w:rPr>
                <w:rStyle w:val="Kpr"/>
                <w:noProof/>
              </w:rPr>
              <w:t>2.</w:t>
            </w:r>
            <w:r w:rsidR="00484307">
              <w:rPr>
                <w:rFonts w:eastAsiaTheme="minorEastAsia"/>
                <w:noProof/>
                <w:sz w:val="24"/>
                <w:szCs w:val="24"/>
              </w:rPr>
              <w:tab/>
            </w:r>
            <w:r w:rsidR="00484307" w:rsidRPr="0034332A">
              <w:rPr>
                <w:rStyle w:val="Kpr"/>
                <w:noProof/>
              </w:rPr>
              <w:t>The Istanbul North Rail Crossing Project (INRAIL)</w:t>
            </w:r>
            <w:r w:rsidR="00484307">
              <w:rPr>
                <w:noProof/>
                <w:webHidden/>
              </w:rPr>
              <w:tab/>
            </w:r>
            <w:r w:rsidR="00484307">
              <w:rPr>
                <w:noProof/>
                <w:webHidden/>
              </w:rPr>
              <w:fldChar w:fldCharType="begin"/>
            </w:r>
            <w:r w:rsidR="00484307">
              <w:rPr>
                <w:noProof/>
                <w:webHidden/>
              </w:rPr>
              <w:instrText xml:space="preserve"> PAGEREF _Toc188986834 \h </w:instrText>
            </w:r>
            <w:r w:rsidR="00484307">
              <w:rPr>
                <w:noProof/>
                <w:webHidden/>
              </w:rPr>
            </w:r>
            <w:r w:rsidR="00484307">
              <w:rPr>
                <w:noProof/>
                <w:webHidden/>
              </w:rPr>
              <w:fldChar w:fldCharType="separate"/>
            </w:r>
            <w:r w:rsidR="00484307">
              <w:rPr>
                <w:noProof/>
                <w:webHidden/>
              </w:rPr>
              <w:t>3</w:t>
            </w:r>
            <w:r w:rsidR="00484307">
              <w:rPr>
                <w:noProof/>
                <w:webHidden/>
              </w:rPr>
              <w:fldChar w:fldCharType="end"/>
            </w:r>
          </w:hyperlink>
        </w:p>
        <w:p w14:paraId="1F0C72AB" w14:textId="3062E462" w:rsidR="00484307" w:rsidRDefault="00F472C8">
          <w:pPr>
            <w:pStyle w:val="T2"/>
            <w:tabs>
              <w:tab w:val="right" w:leader="dot" w:pos="9350"/>
            </w:tabs>
            <w:rPr>
              <w:rFonts w:eastAsiaTheme="minorEastAsia"/>
              <w:noProof/>
              <w:sz w:val="24"/>
              <w:szCs w:val="24"/>
            </w:rPr>
          </w:pPr>
          <w:hyperlink w:anchor="_Toc188986835" w:history="1">
            <w:r w:rsidR="00484307" w:rsidRPr="0034332A">
              <w:rPr>
                <w:rStyle w:val="Kpr"/>
                <w:noProof/>
              </w:rPr>
              <w:t>2.1 Project Description</w:t>
            </w:r>
            <w:r w:rsidR="00484307">
              <w:rPr>
                <w:noProof/>
                <w:webHidden/>
              </w:rPr>
              <w:tab/>
            </w:r>
            <w:r w:rsidR="00484307">
              <w:rPr>
                <w:noProof/>
                <w:webHidden/>
              </w:rPr>
              <w:fldChar w:fldCharType="begin"/>
            </w:r>
            <w:r w:rsidR="00484307">
              <w:rPr>
                <w:noProof/>
                <w:webHidden/>
              </w:rPr>
              <w:instrText xml:space="preserve"> PAGEREF _Toc188986835 \h </w:instrText>
            </w:r>
            <w:r w:rsidR="00484307">
              <w:rPr>
                <w:noProof/>
                <w:webHidden/>
              </w:rPr>
            </w:r>
            <w:r w:rsidR="00484307">
              <w:rPr>
                <w:noProof/>
                <w:webHidden/>
              </w:rPr>
              <w:fldChar w:fldCharType="separate"/>
            </w:r>
            <w:r w:rsidR="00484307">
              <w:rPr>
                <w:noProof/>
                <w:webHidden/>
              </w:rPr>
              <w:t>3</w:t>
            </w:r>
            <w:r w:rsidR="00484307">
              <w:rPr>
                <w:noProof/>
                <w:webHidden/>
              </w:rPr>
              <w:fldChar w:fldCharType="end"/>
            </w:r>
          </w:hyperlink>
        </w:p>
        <w:p w14:paraId="3B97CF5B" w14:textId="2A9DF39E" w:rsidR="00484307" w:rsidRDefault="00F472C8">
          <w:pPr>
            <w:pStyle w:val="T2"/>
            <w:tabs>
              <w:tab w:val="right" w:leader="dot" w:pos="9350"/>
            </w:tabs>
            <w:rPr>
              <w:rFonts w:eastAsiaTheme="minorEastAsia"/>
              <w:noProof/>
              <w:sz w:val="24"/>
              <w:szCs w:val="24"/>
            </w:rPr>
          </w:pPr>
          <w:hyperlink w:anchor="_Toc188986836" w:history="1">
            <w:r w:rsidR="00484307" w:rsidRPr="0034332A">
              <w:rPr>
                <w:rStyle w:val="Kpr"/>
                <w:noProof/>
              </w:rPr>
              <w:t>2.2 Procurement and Financing</w:t>
            </w:r>
            <w:r w:rsidR="00484307">
              <w:rPr>
                <w:noProof/>
                <w:webHidden/>
              </w:rPr>
              <w:tab/>
            </w:r>
            <w:r w:rsidR="00484307">
              <w:rPr>
                <w:noProof/>
                <w:webHidden/>
              </w:rPr>
              <w:fldChar w:fldCharType="begin"/>
            </w:r>
            <w:r w:rsidR="00484307">
              <w:rPr>
                <w:noProof/>
                <w:webHidden/>
              </w:rPr>
              <w:instrText xml:space="preserve"> PAGEREF _Toc188986836 \h </w:instrText>
            </w:r>
            <w:r w:rsidR="00484307">
              <w:rPr>
                <w:noProof/>
                <w:webHidden/>
              </w:rPr>
            </w:r>
            <w:r w:rsidR="00484307">
              <w:rPr>
                <w:noProof/>
                <w:webHidden/>
              </w:rPr>
              <w:fldChar w:fldCharType="separate"/>
            </w:r>
            <w:r w:rsidR="00484307">
              <w:rPr>
                <w:noProof/>
                <w:webHidden/>
              </w:rPr>
              <w:t>4</w:t>
            </w:r>
            <w:r w:rsidR="00484307">
              <w:rPr>
                <w:noProof/>
                <w:webHidden/>
              </w:rPr>
              <w:fldChar w:fldCharType="end"/>
            </w:r>
          </w:hyperlink>
        </w:p>
        <w:p w14:paraId="49FAA99A" w14:textId="4F4BCADC" w:rsidR="00484307" w:rsidRDefault="00F472C8">
          <w:pPr>
            <w:pStyle w:val="T1"/>
            <w:tabs>
              <w:tab w:val="left" w:pos="440"/>
              <w:tab w:val="right" w:leader="dot" w:pos="9350"/>
            </w:tabs>
            <w:rPr>
              <w:rFonts w:eastAsiaTheme="minorEastAsia"/>
              <w:noProof/>
              <w:sz w:val="24"/>
              <w:szCs w:val="24"/>
            </w:rPr>
          </w:pPr>
          <w:hyperlink w:anchor="_Toc188986837" w:history="1">
            <w:r w:rsidR="00484307" w:rsidRPr="0034332A">
              <w:rPr>
                <w:rStyle w:val="Kpr"/>
                <w:noProof/>
              </w:rPr>
              <w:t>3.</w:t>
            </w:r>
            <w:r w:rsidR="00484307">
              <w:rPr>
                <w:rFonts w:eastAsiaTheme="minorEastAsia"/>
                <w:noProof/>
                <w:sz w:val="24"/>
                <w:szCs w:val="24"/>
              </w:rPr>
              <w:tab/>
            </w:r>
            <w:r w:rsidR="00484307" w:rsidRPr="0034332A">
              <w:rPr>
                <w:rStyle w:val="Kpr"/>
                <w:noProof/>
              </w:rPr>
              <w:t>Objective of the Assignment</w:t>
            </w:r>
            <w:r w:rsidR="00484307">
              <w:rPr>
                <w:noProof/>
                <w:webHidden/>
              </w:rPr>
              <w:tab/>
            </w:r>
            <w:r w:rsidR="00484307">
              <w:rPr>
                <w:noProof/>
                <w:webHidden/>
              </w:rPr>
              <w:fldChar w:fldCharType="begin"/>
            </w:r>
            <w:r w:rsidR="00484307">
              <w:rPr>
                <w:noProof/>
                <w:webHidden/>
              </w:rPr>
              <w:instrText xml:space="preserve"> PAGEREF _Toc188986837 \h </w:instrText>
            </w:r>
            <w:r w:rsidR="00484307">
              <w:rPr>
                <w:noProof/>
                <w:webHidden/>
              </w:rPr>
            </w:r>
            <w:r w:rsidR="00484307">
              <w:rPr>
                <w:noProof/>
                <w:webHidden/>
              </w:rPr>
              <w:fldChar w:fldCharType="separate"/>
            </w:r>
            <w:r w:rsidR="00484307">
              <w:rPr>
                <w:noProof/>
                <w:webHidden/>
              </w:rPr>
              <w:t>5</w:t>
            </w:r>
            <w:r w:rsidR="00484307">
              <w:rPr>
                <w:noProof/>
                <w:webHidden/>
              </w:rPr>
              <w:fldChar w:fldCharType="end"/>
            </w:r>
          </w:hyperlink>
        </w:p>
        <w:p w14:paraId="30496717" w14:textId="7C75567B" w:rsidR="00484307" w:rsidRDefault="00F472C8">
          <w:pPr>
            <w:pStyle w:val="T1"/>
            <w:tabs>
              <w:tab w:val="left" w:pos="440"/>
              <w:tab w:val="right" w:leader="dot" w:pos="9350"/>
            </w:tabs>
            <w:rPr>
              <w:rFonts w:eastAsiaTheme="minorEastAsia"/>
              <w:noProof/>
              <w:sz w:val="24"/>
              <w:szCs w:val="24"/>
            </w:rPr>
          </w:pPr>
          <w:hyperlink w:anchor="_Toc188986838" w:history="1">
            <w:r w:rsidR="00484307" w:rsidRPr="0034332A">
              <w:rPr>
                <w:rStyle w:val="Kpr"/>
                <w:noProof/>
              </w:rPr>
              <w:t>4.</w:t>
            </w:r>
            <w:r w:rsidR="00484307">
              <w:rPr>
                <w:rFonts w:eastAsiaTheme="minorEastAsia"/>
                <w:noProof/>
                <w:sz w:val="24"/>
                <w:szCs w:val="24"/>
              </w:rPr>
              <w:tab/>
            </w:r>
            <w:r w:rsidR="00484307" w:rsidRPr="0034332A">
              <w:rPr>
                <w:rStyle w:val="Kpr"/>
                <w:noProof/>
              </w:rPr>
              <w:t>Scope of Work</w:t>
            </w:r>
            <w:r w:rsidR="00484307">
              <w:rPr>
                <w:noProof/>
                <w:webHidden/>
              </w:rPr>
              <w:tab/>
            </w:r>
            <w:r w:rsidR="00484307">
              <w:rPr>
                <w:noProof/>
                <w:webHidden/>
              </w:rPr>
              <w:fldChar w:fldCharType="begin"/>
            </w:r>
            <w:r w:rsidR="00484307">
              <w:rPr>
                <w:noProof/>
                <w:webHidden/>
              </w:rPr>
              <w:instrText xml:space="preserve"> PAGEREF _Toc188986838 \h </w:instrText>
            </w:r>
            <w:r w:rsidR="00484307">
              <w:rPr>
                <w:noProof/>
                <w:webHidden/>
              </w:rPr>
            </w:r>
            <w:r w:rsidR="00484307">
              <w:rPr>
                <w:noProof/>
                <w:webHidden/>
              </w:rPr>
              <w:fldChar w:fldCharType="separate"/>
            </w:r>
            <w:r w:rsidR="00484307">
              <w:rPr>
                <w:noProof/>
                <w:webHidden/>
              </w:rPr>
              <w:t>6</w:t>
            </w:r>
            <w:r w:rsidR="00484307">
              <w:rPr>
                <w:noProof/>
                <w:webHidden/>
              </w:rPr>
              <w:fldChar w:fldCharType="end"/>
            </w:r>
          </w:hyperlink>
        </w:p>
        <w:p w14:paraId="0B04B7A6" w14:textId="46CCE590" w:rsidR="00484307" w:rsidRDefault="00F472C8">
          <w:pPr>
            <w:pStyle w:val="T2"/>
            <w:tabs>
              <w:tab w:val="right" w:leader="dot" w:pos="9350"/>
            </w:tabs>
            <w:rPr>
              <w:rFonts w:eastAsiaTheme="minorEastAsia"/>
              <w:noProof/>
              <w:sz w:val="24"/>
              <w:szCs w:val="24"/>
            </w:rPr>
          </w:pPr>
          <w:hyperlink w:anchor="_Toc188986839" w:history="1">
            <w:r w:rsidR="00484307" w:rsidRPr="0034332A">
              <w:rPr>
                <w:rStyle w:val="Kpr"/>
                <w:noProof/>
              </w:rPr>
              <w:t>Task 1:  Strategic Assessment of Operating Context</w:t>
            </w:r>
            <w:r w:rsidR="00484307">
              <w:rPr>
                <w:noProof/>
                <w:webHidden/>
              </w:rPr>
              <w:tab/>
            </w:r>
            <w:r w:rsidR="00484307">
              <w:rPr>
                <w:noProof/>
                <w:webHidden/>
              </w:rPr>
              <w:fldChar w:fldCharType="begin"/>
            </w:r>
            <w:r w:rsidR="00484307">
              <w:rPr>
                <w:noProof/>
                <w:webHidden/>
              </w:rPr>
              <w:instrText xml:space="preserve"> PAGEREF _Toc188986839 \h </w:instrText>
            </w:r>
            <w:r w:rsidR="00484307">
              <w:rPr>
                <w:noProof/>
                <w:webHidden/>
              </w:rPr>
            </w:r>
            <w:r w:rsidR="00484307">
              <w:rPr>
                <w:noProof/>
                <w:webHidden/>
              </w:rPr>
              <w:fldChar w:fldCharType="separate"/>
            </w:r>
            <w:r w:rsidR="00484307">
              <w:rPr>
                <w:noProof/>
                <w:webHidden/>
              </w:rPr>
              <w:t>6</w:t>
            </w:r>
            <w:r w:rsidR="00484307">
              <w:rPr>
                <w:noProof/>
                <w:webHidden/>
              </w:rPr>
              <w:fldChar w:fldCharType="end"/>
            </w:r>
          </w:hyperlink>
        </w:p>
        <w:p w14:paraId="4F060A0F" w14:textId="58A479B6" w:rsidR="00484307" w:rsidRDefault="00F472C8">
          <w:pPr>
            <w:pStyle w:val="T3"/>
            <w:tabs>
              <w:tab w:val="right" w:leader="dot" w:pos="9350"/>
            </w:tabs>
            <w:rPr>
              <w:rFonts w:eastAsiaTheme="minorEastAsia"/>
              <w:noProof/>
              <w:sz w:val="24"/>
              <w:szCs w:val="24"/>
            </w:rPr>
          </w:pPr>
          <w:hyperlink w:anchor="_Toc188986840" w:history="1">
            <w:r w:rsidR="00484307" w:rsidRPr="0034332A">
              <w:rPr>
                <w:rStyle w:val="Kpr"/>
                <w:noProof/>
              </w:rPr>
              <w:t>Evaluation of Procurement Experience</w:t>
            </w:r>
            <w:r w:rsidR="00484307">
              <w:rPr>
                <w:noProof/>
                <w:webHidden/>
              </w:rPr>
              <w:tab/>
            </w:r>
            <w:r w:rsidR="00484307">
              <w:rPr>
                <w:noProof/>
                <w:webHidden/>
              </w:rPr>
              <w:fldChar w:fldCharType="begin"/>
            </w:r>
            <w:r w:rsidR="00484307">
              <w:rPr>
                <w:noProof/>
                <w:webHidden/>
              </w:rPr>
              <w:instrText xml:space="preserve"> PAGEREF _Toc188986840 \h </w:instrText>
            </w:r>
            <w:r w:rsidR="00484307">
              <w:rPr>
                <w:noProof/>
                <w:webHidden/>
              </w:rPr>
            </w:r>
            <w:r w:rsidR="00484307">
              <w:rPr>
                <w:noProof/>
                <w:webHidden/>
              </w:rPr>
              <w:fldChar w:fldCharType="separate"/>
            </w:r>
            <w:r w:rsidR="00484307">
              <w:rPr>
                <w:noProof/>
                <w:webHidden/>
              </w:rPr>
              <w:t>6</w:t>
            </w:r>
            <w:r w:rsidR="00484307">
              <w:rPr>
                <w:noProof/>
                <w:webHidden/>
              </w:rPr>
              <w:fldChar w:fldCharType="end"/>
            </w:r>
          </w:hyperlink>
        </w:p>
        <w:p w14:paraId="35BCC87A" w14:textId="56E86A4C" w:rsidR="00484307" w:rsidRDefault="00F472C8">
          <w:pPr>
            <w:pStyle w:val="T3"/>
            <w:tabs>
              <w:tab w:val="right" w:leader="dot" w:pos="9350"/>
            </w:tabs>
            <w:rPr>
              <w:rFonts w:eastAsiaTheme="minorEastAsia"/>
              <w:noProof/>
              <w:sz w:val="24"/>
              <w:szCs w:val="24"/>
            </w:rPr>
          </w:pPr>
          <w:hyperlink w:anchor="_Toc188986841" w:history="1">
            <w:r w:rsidR="00484307" w:rsidRPr="0034332A">
              <w:rPr>
                <w:rStyle w:val="Kpr"/>
                <w:noProof/>
              </w:rPr>
              <w:t>Evaluation of Procurement Capacity</w:t>
            </w:r>
            <w:r w:rsidR="00484307">
              <w:rPr>
                <w:noProof/>
                <w:webHidden/>
              </w:rPr>
              <w:tab/>
            </w:r>
            <w:r w:rsidR="00484307">
              <w:rPr>
                <w:noProof/>
                <w:webHidden/>
              </w:rPr>
              <w:fldChar w:fldCharType="begin"/>
            </w:r>
            <w:r w:rsidR="00484307">
              <w:rPr>
                <w:noProof/>
                <w:webHidden/>
              </w:rPr>
              <w:instrText xml:space="preserve"> PAGEREF _Toc188986841 \h </w:instrText>
            </w:r>
            <w:r w:rsidR="00484307">
              <w:rPr>
                <w:noProof/>
                <w:webHidden/>
              </w:rPr>
            </w:r>
            <w:r w:rsidR="00484307">
              <w:rPr>
                <w:noProof/>
                <w:webHidden/>
              </w:rPr>
              <w:fldChar w:fldCharType="separate"/>
            </w:r>
            <w:r w:rsidR="00484307">
              <w:rPr>
                <w:noProof/>
                <w:webHidden/>
              </w:rPr>
              <w:t>7</w:t>
            </w:r>
            <w:r w:rsidR="00484307">
              <w:rPr>
                <w:noProof/>
                <w:webHidden/>
              </w:rPr>
              <w:fldChar w:fldCharType="end"/>
            </w:r>
          </w:hyperlink>
        </w:p>
        <w:p w14:paraId="2663C0CC" w14:textId="307BF85B" w:rsidR="00484307" w:rsidRDefault="00F472C8">
          <w:pPr>
            <w:pStyle w:val="T3"/>
            <w:tabs>
              <w:tab w:val="right" w:leader="dot" w:pos="9350"/>
            </w:tabs>
            <w:rPr>
              <w:rFonts w:eastAsiaTheme="minorEastAsia"/>
              <w:noProof/>
              <w:sz w:val="24"/>
              <w:szCs w:val="24"/>
            </w:rPr>
          </w:pPr>
          <w:hyperlink w:anchor="_Toc188986842" w:history="1">
            <w:r w:rsidR="00484307" w:rsidRPr="0034332A">
              <w:rPr>
                <w:rStyle w:val="Kpr"/>
                <w:noProof/>
              </w:rPr>
              <w:t>Definition of Project Requirements and Procurement Objectives</w:t>
            </w:r>
            <w:r w:rsidR="00484307">
              <w:rPr>
                <w:noProof/>
                <w:webHidden/>
              </w:rPr>
              <w:tab/>
            </w:r>
            <w:r w:rsidR="00484307">
              <w:rPr>
                <w:noProof/>
                <w:webHidden/>
              </w:rPr>
              <w:fldChar w:fldCharType="begin"/>
            </w:r>
            <w:r w:rsidR="00484307">
              <w:rPr>
                <w:noProof/>
                <w:webHidden/>
              </w:rPr>
              <w:instrText xml:space="preserve"> PAGEREF _Toc188986842 \h </w:instrText>
            </w:r>
            <w:r w:rsidR="00484307">
              <w:rPr>
                <w:noProof/>
                <w:webHidden/>
              </w:rPr>
            </w:r>
            <w:r w:rsidR="00484307">
              <w:rPr>
                <w:noProof/>
                <w:webHidden/>
              </w:rPr>
              <w:fldChar w:fldCharType="separate"/>
            </w:r>
            <w:r w:rsidR="00484307">
              <w:rPr>
                <w:noProof/>
                <w:webHidden/>
              </w:rPr>
              <w:t>7</w:t>
            </w:r>
            <w:r w:rsidR="00484307">
              <w:rPr>
                <w:noProof/>
                <w:webHidden/>
              </w:rPr>
              <w:fldChar w:fldCharType="end"/>
            </w:r>
          </w:hyperlink>
        </w:p>
        <w:p w14:paraId="5BE808BB" w14:textId="7BC3903D" w:rsidR="00484307" w:rsidRDefault="00F472C8">
          <w:pPr>
            <w:pStyle w:val="T2"/>
            <w:tabs>
              <w:tab w:val="right" w:leader="dot" w:pos="9350"/>
            </w:tabs>
            <w:rPr>
              <w:rFonts w:eastAsiaTheme="minorEastAsia"/>
              <w:noProof/>
              <w:sz w:val="24"/>
              <w:szCs w:val="24"/>
            </w:rPr>
          </w:pPr>
          <w:hyperlink w:anchor="_Toc188986843" w:history="1">
            <w:r w:rsidR="00484307" w:rsidRPr="0034332A">
              <w:rPr>
                <w:rStyle w:val="Kpr"/>
                <w:noProof/>
              </w:rPr>
              <w:t>Task 2: Market and Risk Analysis and Evaluation of Alternatives</w:t>
            </w:r>
            <w:r w:rsidR="00484307">
              <w:rPr>
                <w:noProof/>
                <w:webHidden/>
              </w:rPr>
              <w:tab/>
            </w:r>
            <w:r w:rsidR="00484307">
              <w:rPr>
                <w:noProof/>
                <w:webHidden/>
              </w:rPr>
              <w:fldChar w:fldCharType="begin"/>
            </w:r>
            <w:r w:rsidR="00484307">
              <w:rPr>
                <w:noProof/>
                <w:webHidden/>
              </w:rPr>
              <w:instrText xml:space="preserve"> PAGEREF _Toc188986843 \h </w:instrText>
            </w:r>
            <w:r w:rsidR="00484307">
              <w:rPr>
                <w:noProof/>
                <w:webHidden/>
              </w:rPr>
            </w:r>
            <w:r w:rsidR="00484307">
              <w:rPr>
                <w:noProof/>
                <w:webHidden/>
              </w:rPr>
              <w:fldChar w:fldCharType="separate"/>
            </w:r>
            <w:r w:rsidR="00484307">
              <w:rPr>
                <w:noProof/>
                <w:webHidden/>
              </w:rPr>
              <w:t>8</w:t>
            </w:r>
            <w:r w:rsidR="00484307">
              <w:rPr>
                <w:noProof/>
                <w:webHidden/>
              </w:rPr>
              <w:fldChar w:fldCharType="end"/>
            </w:r>
          </w:hyperlink>
        </w:p>
        <w:p w14:paraId="6FA3D7BB" w14:textId="2E5C4DEE" w:rsidR="00484307" w:rsidRDefault="00F472C8">
          <w:pPr>
            <w:pStyle w:val="T3"/>
            <w:tabs>
              <w:tab w:val="right" w:leader="dot" w:pos="9350"/>
            </w:tabs>
            <w:rPr>
              <w:rFonts w:eastAsiaTheme="minorEastAsia"/>
              <w:noProof/>
              <w:sz w:val="24"/>
              <w:szCs w:val="24"/>
            </w:rPr>
          </w:pPr>
          <w:hyperlink w:anchor="_Toc188986844" w:history="1">
            <w:r w:rsidR="00484307" w:rsidRPr="0034332A">
              <w:rPr>
                <w:rStyle w:val="Kpr"/>
                <w:noProof/>
              </w:rPr>
              <w:t>Market Sounding and Engagement</w:t>
            </w:r>
            <w:r w:rsidR="00484307">
              <w:rPr>
                <w:noProof/>
                <w:webHidden/>
              </w:rPr>
              <w:tab/>
            </w:r>
            <w:r w:rsidR="00484307">
              <w:rPr>
                <w:noProof/>
                <w:webHidden/>
              </w:rPr>
              <w:fldChar w:fldCharType="begin"/>
            </w:r>
            <w:r w:rsidR="00484307">
              <w:rPr>
                <w:noProof/>
                <w:webHidden/>
              </w:rPr>
              <w:instrText xml:space="preserve"> PAGEREF _Toc188986844 \h </w:instrText>
            </w:r>
            <w:r w:rsidR="00484307">
              <w:rPr>
                <w:noProof/>
                <w:webHidden/>
              </w:rPr>
            </w:r>
            <w:r w:rsidR="00484307">
              <w:rPr>
                <w:noProof/>
                <w:webHidden/>
              </w:rPr>
              <w:fldChar w:fldCharType="separate"/>
            </w:r>
            <w:r w:rsidR="00484307">
              <w:rPr>
                <w:noProof/>
                <w:webHidden/>
              </w:rPr>
              <w:t>8</w:t>
            </w:r>
            <w:r w:rsidR="00484307">
              <w:rPr>
                <w:noProof/>
                <w:webHidden/>
              </w:rPr>
              <w:fldChar w:fldCharType="end"/>
            </w:r>
          </w:hyperlink>
        </w:p>
        <w:p w14:paraId="7B980D0D" w14:textId="4A49D561" w:rsidR="00484307" w:rsidRDefault="00F472C8">
          <w:pPr>
            <w:pStyle w:val="T3"/>
            <w:tabs>
              <w:tab w:val="right" w:leader="dot" w:pos="9350"/>
            </w:tabs>
            <w:rPr>
              <w:rFonts w:eastAsiaTheme="minorEastAsia"/>
              <w:noProof/>
              <w:sz w:val="24"/>
              <w:szCs w:val="24"/>
            </w:rPr>
          </w:pPr>
          <w:hyperlink w:anchor="_Toc188986845" w:history="1">
            <w:r w:rsidR="00484307" w:rsidRPr="0034332A">
              <w:rPr>
                <w:rStyle w:val="Kpr"/>
                <w:noProof/>
              </w:rPr>
              <w:t>Risk Identification</w:t>
            </w:r>
            <w:r w:rsidR="00484307">
              <w:rPr>
                <w:noProof/>
                <w:webHidden/>
              </w:rPr>
              <w:tab/>
            </w:r>
            <w:r w:rsidR="00484307">
              <w:rPr>
                <w:noProof/>
                <w:webHidden/>
              </w:rPr>
              <w:fldChar w:fldCharType="begin"/>
            </w:r>
            <w:r w:rsidR="00484307">
              <w:rPr>
                <w:noProof/>
                <w:webHidden/>
              </w:rPr>
              <w:instrText xml:space="preserve"> PAGEREF _Toc188986845 \h </w:instrText>
            </w:r>
            <w:r w:rsidR="00484307">
              <w:rPr>
                <w:noProof/>
                <w:webHidden/>
              </w:rPr>
            </w:r>
            <w:r w:rsidR="00484307">
              <w:rPr>
                <w:noProof/>
                <w:webHidden/>
              </w:rPr>
              <w:fldChar w:fldCharType="separate"/>
            </w:r>
            <w:r w:rsidR="00484307">
              <w:rPr>
                <w:noProof/>
                <w:webHidden/>
              </w:rPr>
              <w:t>8</w:t>
            </w:r>
            <w:r w:rsidR="00484307">
              <w:rPr>
                <w:noProof/>
                <w:webHidden/>
              </w:rPr>
              <w:fldChar w:fldCharType="end"/>
            </w:r>
          </w:hyperlink>
        </w:p>
        <w:p w14:paraId="1339B020" w14:textId="3F558DD9" w:rsidR="00484307" w:rsidRDefault="00F472C8">
          <w:pPr>
            <w:pStyle w:val="T3"/>
            <w:tabs>
              <w:tab w:val="right" w:leader="dot" w:pos="9350"/>
            </w:tabs>
            <w:rPr>
              <w:rFonts w:eastAsiaTheme="minorEastAsia"/>
              <w:noProof/>
              <w:sz w:val="24"/>
              <w:szCs w:val="24"/>
            </w:rPr>
          </w:pPr>
          <w:hyperlink w:anchor="_Toc188986846" w:history="1">
            <w:r w:rsidR="00484307" w:rsidRPr="0034332A">
              <w:rPr>
                <w:rStyle w:val="Kpr"/>
                <w:noProof/>
              </w:rPr>
              <w:t>Evaluation of Alternatives</w:t>
            </w:r>
            <w:r w:rsidR="00484307">
              <w:rPr>
                <w:noProof/>
                <w:webHidden/>
              </w:rPr>
              <w:tab/>
            </w:r>
            <w:r w:rsidR="00484307">
              <w:rPr>
                <w:noProof/>
                <w:webHidden/>
              </w:rPr>
              <w:fldChar w:fldCharType="begin"/>
            </w:r>
            <w:r w:rsidR="00484307">
              <w:rPr>
                <w:noProof/>
                <w:webHidden/>
              </w:rPr>
              <w:instrText xml:space="preserve"> PAGEREF _Toc188986846 \h </w:instrText>
            </w:r>
            <w:r w:rsidR="00484307">
              <w:rPr>
                <w:noProof/>
                <w:webHidden/>
              </w:rPr>
            </w:r>
            <w:r w:rsidR="00484307">
              <w:rPr>
                <w:noProof/>
                <w:webHidden/>
              </w:rPr>
              <w:fldChar w:fldCharType="separate"/>
            </w:r>
            <w:r w:rsidR="00484307">
              <w:rPr>
                <w:noProof/>
                <w:webHidden/>
              </w:rPr>
              <w:t>9</w:t>
            </w:r>
            <w:r w:rsidR="00484307">
              <w:rPr>
                <w:noProof/>
                <w:webHidden/>
              </w:rPr>
              <w:fldChar w:fldCharType="end"/>
            </w:r>
          </w:hyperlink>
        </w:p>
        <w:p w14:paraId="27266D9B" w14:textId="2A752835" w:rsidR="00484307" w:rsidRDefault="00F472C8">
          <w:pPr>
            <w:pStyle w:val="T3"/>
            <w:tabs>
              <w:tab w:val="right" w:leader="dot" w:pos="9350"/>
            </w:tabs>
            <w:rPr>
              <w:rFonts w:eastAsiaTheme="minorEastAsia"/>
              <w:noProof/>
              <w:sz w:val="24"/>
              <w:szCs w:val="24"/>
            </w:rPr>
          </w:pPr>
          <w:hyperlink w:anchor="_Toc188986847" w:history="1">
            <w:r w:rsidR="00484307" w:rsidRPr="0034332A">
              <w:rPr>
                <w:rStyle w:val="Kpr"/>
                <w:noProof/>
              </w:rPr>
              <w:t>Client and Stakeholder Presentation</w:t>
            </w:r>
            <w:r w:rsidR="00484307">
              <w:rPr>
                <w:noProof/>
                <w:webHidden/>
              </w:rPr>
              <w:tab/>
            </w:r>
            <w:r w:rsidR="00484307">
              <w:rPr>
                <w:noProof/>
                <w:webHidden/>
              </w:rPr>
              <w:fldChar w:fldCharType="begin"/>
            </w:r>
            <w:r w:rsidR="00484307">
              <w:rPr>
                <w:noProof/>
                <w:webHidden/>
              </w:rPr>
              <w:instrText xml:space="preserve"> PAGEREF _Toc188986847 \h </w:instrText>
            </w:r>
            <w:r w:rsidR="00484307">
              <w:rPr>
                <w:noProof/>
                <w:webHidden/>
              </w:rPr>
            </w:r>
            <w:r w:rsidR="00484307">
              <w:rPr>
                <w:noProof/>
                <w:webHidden/>
              </w:rPr>
              <w:fldChar w:fldCharType="separate"/>
            </w:r>
            <w:r w:rsidR="00484307">
              <w:rPr>
                <w:noProof/>
                <w:webHidden/>
              </w:rPr>
              <w:t>9</w:t>
            </w:r>
            <w:r w:rsidR="00484307">
              <w:rPr>
                <w:noProof/>
                <w:webHidden/>
              </w:rPr>
              <w:fldChar w:fldCharType="end"/>
            </w:r>
          </w:hyperlink>
        </w:p>
        <w:p w14:paraId="08478CB5" w14:textId="06DB4C26" w:rsidR="00484307" w:rsidRDefault="00F472C8">
          <w:pPr>
            <w:pStyle w:val="T2"/>
            <w:tabs>
              <w:tab w:val="right" w:leader="dot" w:pos="9350"/>
            </w:tabs>
            <w:rPr>
              <w:rFonts w:eastAsiaTheme="minorEastAsia"/>
              <w:noProof/>
              <w:sz w:val="24"/>
              <w:szCs w:val="24"/>
            </w:rPr>
          </w:pPr>
          <w:hyperlink w:anchor="_Toc188986848" w:history="1">
            <w:r w:rsidR="00484307" w:rsidRPr="0034332A">
              <w:rPr>
                <w:rStyle w:val="Kpr"/>
                <w:noProof/>
              </w:rPr>
              <w:t>Task 3:  Procurement Strategy and Plan</w:t>
            </w:r>
            <w:r w:rsidR="00484307">
              <w:rPr>
                <w:noProof/>
                <w:webHidden/>
              </w:rPr>
              <w:tab/>
            </w:r>
            <w:r w:rsidR="00484307">
              <w:rPr>
                <w:noProof/>
                <w:webHidden/>
              </w:rPr>
              <w:fldChar w:fldCharType="begin"/>
            </w:r>
            <w:r w:rsidR="00484307">
              <w:rPr>
                <w:noProof/>
                <w:webHidden/>
              </w:rPr>
              <w:instrText xml:space="preserve"> PAGEREF _Toc188986848 \h </w:instrText>
            </w:r>
            <w:r w:rsidR="00484307">
              <w:rPr>
                <w:noProof/>
                <w:webHidden/>
              </w:rPr>
            </w:r>
            <w:r w:rsidR="00484307">
              <w:rPr>
                <w:noProof/>
                <w:webHidden/>
              </w:rPr>
              <w:fldChar w:fldCharType="separate"/>
            </w:r>
            <w:r w:rsidR="00484307">
              <w:rPr>
                <w:noProof/>
                <w:webHidden/>
              </w:rPr>
              <w:t>9</w:t>
            </w:r>
            <w:r w:rsidR="00484307">
              <w:rPr>
                <w:noProof/>
                <w:webHidden/>
              </w:rPr>
              <w:fldChar w:fldCharType="end"/>
            </w:r>
          </w:hyperlink>
        </w:p>
        <w:p w14:paraId="3BEDB47A" w14:textId="699A8FFC" w:rsidR="00484307" w:rsidRDefault="00F472C8">
          <w:pPr>
            <w:pStyle w:val="T3"/>
            <w:tabs>
              <w:tab w:val="right" w:leader="dot" w:pos="9350"/>
            </w:tabs>
            <w:rPr>
              <w:rFonts w:eastAsiaTheme="minorEastAsia"/>
              <w:noProof/>
              <w:sz w:val="24"/>
              <w:szCs w:val="24"/>
            </w:rPr>
          </w:pPr>
          <w:hyperlink w:anchor="_Toc188986849" w:history="1">
            <w:r w:rsidR="00484307" w:rsidRPr="0034332A">
              <w:rPr>
                <w:rStyle w:val="Kpr"/>
                <w:noProof/>
              </w:rPr>
              <w:t>Project Procurement Strategy for Development (PPSD)</w:t>
            </w:r>
            <w:r w:rsidR="00484307">
              <w:rPr>
                <w:noProof/>
                <w:webHidden/>
              </w:rPr>
              <w:tab/>
            </w:r>
            <w:r w:rsidR="00484307">
              <w:rPr>
                <w:noProof/>
                <w:webHidden/>
              </w:rPr>
              <w:fldChar w:fldCharType="begin"/>
            </w:r>
            <w:r w:rsidR="00484307">
              <w:rPr>
                <w:noProof/>
                <w:webHidden/>
              </w:rPr>
              <w:instrText xml:space="preserve"> PAGEREF _Toc188986849 \h </w:instrText>
            </w:r>
            <w:r w:rsidR="00484307">
              <w:rPr>
                <w:noProof/>
                <w:webHidden/>
              </w:rPr>
            </w:r>
            <w:r w:rsidR="00484307">
              <w:rPr>
                <w:noProof/>
                <w:webHidden/>
              </w:rPr>
              <w:fldChar w:fldCharType="separate"/>
            </w:r>
            <w:r w:rsidR="00484307">
              <w:rPr>
                <w:noProof/>
                <w:webHidden/>
              </w:rPr>
              <w:t>9</w:t>
            </w:r>
            <w:r w:rsidR="00484307">
              <w:rPr>
                <w:noProof/>
                <w:webHidden/>
              </w:rPr>
              <w:fldChar w:fldCharType="end"/>
            </w:r>
          </w:hyperlink>
        </w:p>
        <w:p w14:paraId="2931730E" w14:textId="2AA12475" w:rsidR="00484307" w:rsidRDefault="00F472C8">
          <w:pPr>
            <w:pStyle w:val="T3"/>
            <w:tabs>
              <w:tab w:val="right" w:leader="dot" w:pos="9350"/>
            </w:tabs>
            <w:rPr>
              <w:rFonts w:eastAsiaTheme="minorEastAsia"/>
              <w:noProof/>
              <w:sz w:val="24"/>
              <w:szCs w:val="24"/>
            </w:rPr>
          </w:pPr>
          <w:hyperlink w:anchor="_Toc188986850" w:history="1">
            <w:r w:rsidR="00484307" w:rsidRPr="0034332A">
              <w:rPr>
                <w:rStyle w:val="Kpr"/>
                <w:noProof/>
              </w:rPr>
              <w:t>Procurement Plan</w:t>
            </w:r>
            <w:r w:rsidR="00484307">
              <w:rPr>
                <w:noProof/>
                <w:webHidden/>
              </w:rPr>
              <w:tab/>
            </w:r>
            <w:r w:rsidR="00484307">
              <w:rPr>
                <w:noProof/>
                <w:webHidden/>
              </w:rPr>
              <w:fldChar w:fldCharType="begin"/>
            </w:r>
            <w:r w:rsidR="00484307">
              <w:rPr>
                <w:noProof/>
                <w:webHidden/>
              </w:rPr>
              <w:instrText xml:space="preserve"> PAGEREF _Toc188986850 \h </w:instrText>
            </w:r>
            <w:r w:rsidR="00484307">
              <w:rPr>
                <w:noProof/>
                <w:webHidden/>
              </w:rPr>
            </w:r>
            <w:r w:rsidR="00484307">
              <w:rPr>
                <w:noProof/>
                <w:webHidden/>
              </w:rPr>
              <w:fldChar w:fldCharType="separate"/>
            </w:r>
            <w:r w:rsidR="00484307">
              <w:rPr>
                <w:noProof/>
                <w:webHidden/>
              </w:rPr>
              <w:t>10</w:t>
            </w:r>
            <w:r w:rsidR="00484307">
              <w:rPr>
                <w:noProof/>
                <w:webHidden/>
              </w:rPr>
              <w:fldChar w:fldCharType="end"/>
            </w:r>
          </w:hyperlink>
        </w:p>
        <w:p w14:paraId="6917A58B" w14:textId="0E3E7125" w:rsidR="00484307" w:rsidRDefault="00F472C8">
          <w:pPr>
            <w:pStyle w:val="T3"/>
            <w:tabs>
              <w:tab w:val="right" w:leader="dot" w:pos="9350"/>
            </w:tabs>
            <w:rPr>
              <w:rFonts w:eastAsiaTheme="minorEastAsia"/>
              <w:noProof/>
              <w:sz w:val="24"/>
              <w:szCs w:val="24"/>
            </w:rPr>
          </w:pPr>
          <w:hyperlink w:anchor="_Toc188986851" w:history="1">
            <w:r w:rsidR="00484307" w:rsidRPr="0034332A">
              <w:rPr>
                <w:rStyle w:val="Kpr"/>
                <w:noProof/>
              </w:rPr>
              <w:t>Contract Management Plan</w:t>
            </w:r>
            <w:r w:rsidR="00484307">
              <w:rPr>
                <w:noProof/>
                <w:webHidden/>
              </w:rPr>
              <w:tab/>
            </w:r>
            <w:r w:rsidR="00484307">
              <w:rPr>
                <w:noProof/>
                <w:webHidden/>
              </w:rPr>
              <w:fldChar w:fldCharType="begin"/>
            </w:r>
            <w:r w:rsidR="00484307">
              <w:rPr>
                <w:noProof/>
                <w:webHidden/>
              </w:rPr>
              <w:instrText xml:space="preserve"> PAGEREF _Toc188986851 \h </w:instrText>
            </w:r>
            <w:r w:rsidR="00484307">
              <w:rPr>
                <w:noProof/>
                <w:webHidden/>
              </w:rPr>
            </w:r>
            <w:r w:rsidR="00484307">
              <w:rPr>
                <w:noProof/>
                <w:webHidden/>
              </w:rPr>
              <w:fldChar w:fldCharType="separate"/>
            </w:r>
            <w:r w:rsidR="00484307">
              <w:rPr>
                <w:noProof/>
                <w:webHidden/>
              </w:rPr>
              <w:t>10</w:t>
            </w:r>
            <w:r w:rsidR="00484307">
              <w:rPr>
                <w:noProof/>
                <w:webHidden/>
              </w:rPr>
              <w:fldChar w:fldCharType="end"/>
            </w:r>
          </w:hyperlink>
        </w:p>
        <w:p w14:paraId="4B36ADF2" w14:textId="4E5D8C9F" w:rsidR="00484307" w:rsidRDefault="00F472C8">
          <w:pPr>
            <w:pStyle w:val="T1"/>
            <w:tabs>
              <w:tab w:val="left" w:pos="440"/>
              <w:tab w:val="right" w:leader="dot" w:pos="9350"/>
            </w:tabs>
            <w:rPr>
              <w:rFonts w:eastAsiaTheme="minorEastAsia"/>
              <w:noProof/>
              <w:sz w:val="24"/>
              <w:szCs w:val="24"/>
            </w:rPr>
          </w:pPr>
          <w:hyperlink w:anchor="_Toc188986852" w:history="1">
            <w:r w:rsidR="00484307" w:rsidRPr="0034332A">
              <w:rPr>
                <w:rStyle w:val="Kpr"/>
                <w:noProof/>
              </w:rPr>
              <w:t>5.</w:t>
            </w:r>
            <w:r w:rsidR="00484307">
              <w:rPr>
                <w:rFonts w:eastAsiaTheme="minorEastAsia"/>
                <w:noProof/>
                <w:sz w:val="24"/>
                <w:szCs w:val="24"/>
              </w:rPr>
              <w:tab/>
            </w:r>
            <w:r w:rsidR="00484307" w:rsidRPr="0034332A">
              <w:rPr>
                <w:rStyle w:val="Kpr"/>
                <w:noProof/>
              </w:rPr>
              <w:t>Deliverables and Timeline</w:t>
            </w:r>
            <w:r w:rsidR="00484307">
              <w:rPr>
                <w:noProof/>
                <w:webHidden/>
              </w:rPr>
              <w:tab/>
            </w:r>
            <w:r w:rsidR="00484307">
              <w:rPr>
                <w:noProof/>
                <w:webHidden/>
              </w:rPr>
              <w:fldChar w:fldCharType="begin"/>
            </w:r>
            <w:r w:rsidR="00484307">
              <w:rPr>
                <w:noProof/>
                <w:webHidden/>
              </w:rPr>
              <w:instrText xml:space="preserve"> PAGEREF _Toc188986852 \h </w:instrText>
            </w:r>
            <w:r w:rsidR="00484307">
              <w:rPr>
                <w:noProof/>
                <w:webHidden/>
              </w:rPr>
            </w:r>
            <w:r w:rsidR="00484307">
              <w:rPr>
                <w:noProof/>
                <w:webHidden/>
              </w:rPr>
              <w:fldChar w:fldCharType="separate"/>
            </w:r>
            <w:r w:rsidR="00484307">
              <w:rPr>
                <w:noProof/>
                <w:webHidden/>
              </w:rPr>
              <w:t>11</w:t>
            </w:r>
            <w:r w:rsidR="00484307">
              <w:rPr>
                <w:noProof/>
                <w:webHidden/>
              </w:rPr>
              <w:fldChar w:fldCharType="end"/>
            </w:r>
          </w:hyperlink>
        </w:p>
        <w:p w14:paraId="0BBBFEB3" w14:textId="11E3A610" w:rsidR="00484307" w:rsidRDefault="00F472C8">
          <w:pPr>
            <w:pStyle w:val="T1"/>
            <w:tabs>
              <w:tab w:val="left" w:pos="440"/>
              <w:tab w:val="right" w:leader="dot" w:pos="9350"/>
            </w:tabs>
            <w:rPr>
              <w:rFonts w:eastAsiaTheme="minorEastAsia"/>
              <w:noProof/>
              <w:sz w:val="24"/>
              <w:szCs w:val="24"/>
            </w:rPr>
          </w:pPr>
          <w:hyperlink w:anchor="_Toc188986853" w:history="1">
            <w:r w:rsidR="00484307" w:rsidRPr="0034332A">
              <w:rPr>
                <w:rStyle w:val="Kpr"/>
                <w:noProof/>
              </w:rPr>
              <w:t>6.</w:t>
            </w:r>
            <w:r w:rsidR="00484307">
              <w:rPr>
                <w:rFonts w:eastAsiaTheme="minorEastAsia"/>
                <w:noProof/>
                <w:sz w:val="24"/>
                <w:szCs w:val="24"/>
              </w:rPr>
              <w:tab/>
            </w:r>
            <w:r w:rsidR="00484307" w:rsidRPr="0034332A">
              <w:rPr>
                <w:rStyle w:val="Kpr"/>
                <w:noProof/>
              </w:rPr>
              <w:t>Consultant Qualifications</w:t>
            </w:r>
            <w:r w:rsidR="00484307">
              <w:rPr>
                <w:noProof/>
                <w:webHidden/>
              </w:rPr>
              <w:tab/>
            </w:r>
            <w:r w:rsidR="00484307">
              <w:rPr>
                <w:noProof/>
                <w:webHidden/>
              </w:rPr>
              <w:fldChar w:fldCharType="begin"/>
            </w:r>
            <w:r w:rsidR="00484307">
              <w:rPr>
                <w:noProof/>
                <w:webHidden/>
              </w:rPr>
              <w:instrText xml:space="preserve"> PAGEREF _Toc188986853 \h </w:instrText>
            </w:r>
            <w:r w:rsidR="00484307">
              <w:rPr>
                <w:noProof/>
                <w:webHidden/>
              </w:rPr>
            </w:r>
            <w:r w:rsidR="00484307">
              <w:rPr>
                <w:noProof/>
                <w:webHidden/>
              </w:rPr>
              <w:fldChar w:fldCharType="separate"/>
            </w:r>
            <w:r w:rsidR="00484307">
              <w:rPr>
                <w:noProof/>
                <w:webHidden/>
              </w:rPr>
              <w:t>11</w:t>
            </w:r>
            <w:r w:rsidR="00484307">
              <w:rPr>
                <w:noProof/>
                <w:webHidden/>
              </w:rPr>
              <w:fldChar w:fldCharType="end"/>
            </w:r>
          </w:hyperlink>
        </w:p>
        <w:p w14:paraId="3875022F" w14:textId="4626CE14" w:rsidR="00D50480" w:rsidRDefault="00D50480">
          <w:r>
            <w:rPr>
              <w:b/>
              <w:bCs/>
              <w:noProof/>
            </w:rPr>
            <w:fldChar w:fldCharType="end"/>
          </w:r>
        </w:p>
      </w:sdtContent>
    </w:sdt>
    <w:p w14:paraId="5966A419" w14:textId="77777777" w:rsidR="00446715" w:rsidRPr="002F0648" w:rsidRDefault="00446715" w:rsidP="00D50480">
      <w:pPr>
        <w:rPr>
          <w:sz w:val="12"/>
          <w:szCs w:val="12"/>
        </w:rPr>
      </w:pPr>
    </w:p>
    <w:p w14:paraId="7A502930" w14:textId="3E18038A" w:rsidR="00404C97" w:rsidRDefault="0090212D" w:rsidP="00987AA8">
      <w:pPr>
        <w:pStyle w:val="Balk1"/>
        <w:numPr>
          <w:ilvl w:val="0"/>
          <w:numId w:val="7"/>
        </w:numPr>
      </w:pPr>
      <w:bookmarkStart w:id="0" w:name="_Toc188986833"/>
      <w:r>
        <w:t xml:space="preserve">Sector </w:t>
      </w:r>
      <w:r w:rsidR="00BE63EC">
        <w:t>Background</w:t>
      </w:r>
      <w:bookmarkEnd w:id="0"/>
    </w:p>
    <w:p w14:paraId="43FBE21A" w14:textId="77777777" w:rsidR="00987AA8" w:rsidRPr="00987AA8" w:rsidRDefault="00987AA8" w:rsidP="00987AA8"/>
    <w:p w14:paraId="1AE27ADF" w14:textId="5889C50E" w:rsidR="00714975" w:rsidRDefault="009B0990" w:rsidP="009B0990">
      <w:pPr>
        <w:jc w:val="both"/>
      </w:pPr>
      <w:r w:rsidRPr="009B0990">
        <w:rPr>
          <w:b/>
          <w:bCs/>
        </w:rPr>
        <w:t xml:space="preserve">Türkiye has a remarkable </w:t>
      </w:r>
      <w:proofErr w:type="gramStart"/>
      <w:r w:rsidRPr="009B0990">
        <w:rPr>
          <w:b/>
          <w:bCs/>
        </w:rPr>
        <w:t>track record</w:t>
      </w:r>
      <w:proofErr w:type="gramEnd"/>
      <w:r w:rsidRPr="009B0990">
        <w:rPr>
          <w:b/>
          <w:bCs/>
        </w:rPr>
        <w:t xml:space="preserve"> of economic growth and poverty reduction</w:t>
      </w:r>
      <w:r w:rsidR="007A4F3F">
        <w:rPr>
          <w:b/>
          <w:bCs/>
        </w:rPr>
        <w:t xml:space="preserve">, but new engines of growth need to be solidified </w:t>
      </w:r>
      <w:r w:rsidR="008F51B7">
        <w:rPr>
          <w:b/>
          <w:bCs/>
        </w:rPr>
        <w:t xml:space="preserve">to continue on this path </w:t>
      </w:r>
      <w:r w:rsidR="007A4F3F">
        <w:rPr>
          <w:b/>
          <w:bCs/>
        </w:rPr>
        <w:t>going forward</w:t>
      </w:r>
      <w:r w:rsidRPr="009B0990">
        <w:rPr>
          <w:b/>
          <w:bCs/>
        </w:rPr>
        <w:t>.</w:t>
      </w:r>
      <w:r>
        <w:t xml:space="preserve"> Over the 20-year period between 2003 and 2023, the Turkish economy grew at an average annual rate of 5.4%, significantly above that of comparable upper middle-income countries like Argentina (2.4%), Brazil (2.2%),</w:t>
      </w:r>
      <w:r w:rsidR="008F51B7">
        <w:t xml:space="preserve"> South Africa (2.0%),</w:t>
      </w:r>
      <w:r>
        <w:t xml:space="preserve"> and Mexico (1.7%). </w:t>
      </w:r>
      <w:r w:rsidR="007A4F3F">
        <w:t xml:space="preserve">This growth </w:t>
      </w:r>
      <w:r w:rsidR="007A4F3F" w:rsidRPr="007A4F3F">
        <w:t>was accompanied by rapid poverty reduction, with the poverty rate (US$6.85 2017 PPP poverty line) halving from above 20% in 2007 to less than 10% in 2021.</w:t>
      </w:r>
      <w:r w:rsidR="007A4F3F">
        <w:t xml:space="preserve"> </w:t>
      </w:r>
      <w:r w:rsidR="00572DEF">
        <w:t xml:space="preserve">However, over the </w:t>
      </w:r>
      <w:r w:rsidR="000B62F7">
        <w:t>coming</w:t>
      </w:r>
      <w:r w:rsidR="00572DEF">
        <w:t xml:space="preserve"> years Türkiye’s pace of economic expansion—3.3% per year between 2023 and 2029—is expected to be well below that of the previous 20 years. That is in contrast with the growth expectations of our comparable sample of upper middle-income countries</w:t>
      </w:r>
      <w:r w:rsidR="000B62F7">
        <w:t>. W</w:t>
      </w:r>
      <w:r w:rsidR="00572DEF">
        <w:t xml:space="preserve">ith the only exception of South Africa, </w:t>
      </w:r>
      <w:r w:rsidR="000B62F7">
        <w:t xml:space="preserve">these countries </w:t>
      </w:r>
      <w:r w:rsidR="00572DEF">
        <w:t xml:space="preserve">are expected to grow faster during 2023-2029 than they did over the previous 20 years, including Argentina (2.6%), Brazil (2.5%), and Mexico (1.9%). Türkiye therefore needs to find sources of sustained economic growth to </w:t>
      </w:r>
      <w:r w:rsidR="000B62F7">
        <w:t>continue to strengthen standards of living</w:t>
      </w:r>
      <w:r w:rsidR="003A6AD5">
        <w:t xml:space="preserve"> at a sufficiently rapid clip</w:t>
      </w:r>
      <w:r w:rsidR="00714975">
        <w:t xml:space="preserve">. </w:t>
      </w:r>
      <w:r w:rsidR="003A6AD5">
        <w:t xml:space="preserve"> </w:t>
      </w:r>
      <w:r w:rsidR="00714975">
        <w:t xml:space="preserve">A key opportunity in this regard is the need to increase productivity, whose contribution to growth </w:t>
      </w:r>
      <w:r w:rsidR="00DF3753">
        <w:t xml:space="preserve">in Türkiye </w:t>
      </w:r>
      <w:r w:rsidR="00714975">
        <w:t>during 2016-2021 was only half of that during 2010-2015.</w:t>
      </w:r>
    </w:p>
    <w:p w14:paraId="2A6B25C1" w14:textId="603A9DC3" w:rsidR="00572DEF" w:rsidRPr="00404C97" w:rsidRDefault="00714975" w:rsidP="009B0990">
      <w:pPr>
        <w:jc w:val="both"/>
      </w:pPr>
      <w:r w:rsidRPr="00714975">
        <w:rPr>
          <w:b/>
          <w:bCs/>
        </w:rPr>
        <w:t>One way of improving Türkiye’s productivity prospects is through</w:t>
      </w:r>
      <w:r w:rsidR="000B62F7">
        <w:rPr>
          <w:b/>
          <w:bCs/>
        </w:rPr>
        <w:t xml:space="preserve"> trade-oriented</w:t>
      </w:r>
      <w:r w:rsidRPr="00714975">
        <w:rPr>
          <w:b/>
          <w:bCs/>
        </w:rPr>
        <w:t xml:space="preserve"> investments in connectivity and logistics.</w:t>
      </w:r>
      <w:r>
        <w:t xml:space="preserve"> Evidence shows that </w:t>
      </w:r>
      <w:r w:rsidR="003A6AD5">
        <w:t xml:space="preserve">Turkish </w:t>
      </w:r>
      <w:r>
        <w:t>firms that engage in import-export activity or are linked to cross-border value chains</w:t>
      </w:r>
      <w:r w:rsidR="00E02898">
        <w:t>, thus exposed to greater competition and technological spillovers,</w:t>
      </w:r>
      <w:r>
        <w:t xml:space="preserve"> are more productive than their purely domestic counterparts.</w:t>
      </w:r>
      <w:r w:rsidR="00E02898">
        <w:rPr>
          <w:rStyle w:val="DipnotBavurusu"/>
        </w:rPr>
        <w:footnoteReference w:id="2"/>
      </w:r>
      <w:r>
        <w:t xml:space="preserve"> </w:t>
      </w:r>
      <w:r w:rsidR="00DF3753">
        <w:t>To</w:t>
      </w:r>
      <w:r>
        <w:t xml:space="preserve"> facilitate </w:t>
      </w:r>
      <w:r w:rsidR="000B62F7">
        <w:t>international integration</w:t>
      </w:r>
      <w:r w:rsidR="00DF3753">
        <w:t>,</w:t>
      </w:r>
      <w:r>
        <w:t xml:space="preserve"> Türkiye has the opportunity</w:t>
      </w:r>
      <w:r w:rsidR="000B62F7">
        <w:t>, unique among upper</w:t>
      </w:r>
      <w:r w:rsidR="003A6AD5">
        <w:t xml:space="preserve"> </w:t>
      </w:r>
      <w:r w:rsidR="000B62F7">
        <w:t>middle</w:t>
      </w:r>
      <w:r w:rsidR="003A6AD5">
        <w:t>-</w:t>
      </w:r>
      <w:r w:rsidR="000B62F7">
        <w:t>income countries due to its geographic location,</w:t>
      </w:r>
      <w:r>
        <w:t xml:space="preserve"> to better link itself to intercontinental logistics corridors. </w:t>
      </w:r>
      <w:r w:rsidR="003A6AD5">
        <w:t>Aware of this opportunity</w:t>
      </w:r>
      <w:r>
        <w:t>,</w:t>
      </w:r>
      <w:r w:rsidR="003A6AD5">
        <w:t xml:space="preserve"> the Government of</w:t>
      </w:r>
      <w:r>
        <w:t xml:space="preserve"> </w:t>
      </w:r>
      <w:proofErr w:type="spellStart"/>
      <w:r>
        <w:t>Türkiye</w:t>
      </w:r>
      <w:proofErr w:type="spellEnd"/>
      <w:r w:rsidR="003A6AD5">
        <w:t xml:space="preserve"> (</w:t>
      </w:r>
      <w:proofErr w:type="spellStart"/>
      <w:r w:rsidR="003A6AD5">
        <w:t>GoT</w:t>
      </w:r>
      <w:proofErr w:type="spellEnd"/>
      <w:r w:rsidR="003A6AD5">
        <w:t>)</w:t>
      </w:r>
      <w:r>
        <w:t xml:space="preserve"> has adopted the goal of becoming a logistics hub in the </w:t>
      </w:r>
      <w:r w:rsidRPr="00DF3753">
        <w:rPr>
          <w:b/>
          <w:bCs/>
        </w:rPr>
        <w:t>Trans-Caspian Middle Corridor</w:t>
      </w:r>
      <w:r>
        <w:t xml:space="preserve"> (Middle Corridor)</w:t>
      </w:r>
      <w:r w:rsidR="000B62F7">
        <w:t xml:space="preserve"> linking Asia and Europe</w:t>
      </w:r>
      <w:r w:rsidR="003A6AD5">
        <w:t>.</w:t>
      </w:r>
      <w:r w:rsidR="00E473E6">
        <w:rPr>
          <w:rStyle w:val="DipnotBavurusu"/>
        </w:rPr>
        <w:footnoteReference w:id="3"/>
      </w:r>
      <w:r w:rsidR="003A6AD5">
        <w:t xml:space="preserve"> It also aims to</w:t>
      </w:r>
      <w:r>
        <w:t xml:space="preserve"> develop additional </w:t>
      </w:r>
      <w:r w:rsidR="00A94212">
        <w:t xml:space="preserve">Asia-Europe </w:t>
      </w:r>
      <w:r>
        <w:t>intercontinental connections</w:t>
      </w:r>
      <w:r w:rsidR="003A6AD5">
        <w:t xml:space="preserve"> through </w:t>
      </w:r>
      <w:r w:rsidR="00A94212">
        <w:t>Türkiye</w:t>
      </w:r>
      <w:r>
        <w:t xml:space="preserve">, </w:t>
      </w:r>
      <w:r w:rsidR="00E473E6">
        <w:t>most notably</w:t>
      </w:r>
      <w:r>
        <w:t xml:space="preserve"> </w:t>
      </w:r>
      <w:r w:rsidR="003A6AD5">
        <w:t xml:space="preserve">the proposed </w:t>
      </w:r>
      <w:r w:rsidR="003A6AD5" w:rsidRPr="003A6AD5">
        <w:rPr>
          <w:b/>
          <w:bCs/>
        </w:rPr>
        <w:t>Iraq Development Road</w:t>
      </w:r>
      <w:r w:rsidR="00A94212">
        <w:t>, which would link</w:t>
      </w:r>
      <w:r w:rsidR="003A6AD5">
        <w:t xml:space="preserve"> </w:t>
      </w:r>
      <w:r>
        <w:t xml:space="preserve">Asia and </w:t>
      </w:r>
      <w:r w:rsidR="00DF3753">
        <w:t xml:space="preserve">the </w:t>
      </w:r>
      <w:r>
        <w:t>Europe</w:t>
      </w:r>
      <w:r w:rsidR="00DF3753">
        <w:t xml:space="preserve"> Union</w:t>
      </w:r>
      <w:r>
        <w:t xml:space="preserve"> via the Middle East and Türkiye</w:t>
      </w:r>
      <w:r w:rsidR="000B62F7">
        <w:t xml:space="preserve"> by rail</w:t>
      </w:r>
      <w:r w:rsidR="00DF3753">
        <w:t>,</w:t>
      </w:r>
      <w:r>
        <w:t xml:space="preserve"> </w:t>
      </w:r>
      <w:r w:rsidR="00E01403">
        <w:t>using</w:t>
      </w:r>
      <w:r>
        <w:t xml:space="preserve"> the greenfield Iraqi port of Al-Faw as </w:t>
      </w:r>
      <w:r w:rsidR="000B62F7">
        <w:t xml:space="preserve">maritime </w:t>
      </w:r>
      <w:r>
        <w:t>gateway.</w:t>
      </w:r>
      <w:r w:rsidR="00DF3753">
        <w:t xml:space="preserve"> </w:t>
      </w:r>
      <w:r w:rsidR="00E473E6">
        <w:t xml:space="preserve"> </w:t>
      </w:r>
      <w:r w:rsidR="00DF3753">
        <w:t xml:space="preserve">In addition to boosting trade, </w:t>
      </w:r>
      <w:r w:rsidR="000B62F7">
        <w:t xml:space="preserve">the </w:t>
      </w:r>
      <w:r w:rsidR="00DF3753">
        <w:t>development of these rail-based corridors would deepen</w:t>
      </w:r>
      <w:r w:rsidR="003858C7">
        <w:t xml:space="preserve"> </w:t>
      </w:r>
      <w:r w:rsidR="000B62F7">
        <w:t>multimodal low-carbon</w:t>
      </w:r>
      <w:r w:rsidR="00DF3753">
        <w:t xml:space="preserve"> logistics in Türkiye, thus contributing to the decarbonization of transportation</w:t>
      </w:r>
      <w:r w:rsidR="003858C7">
        <w:t xml:space="preserve"> </w:t>
      </w:r>
      <w:r w:rsidR="00DF3753">
        <w:t xml:space="preserve">consistent with the country’s stated goal of becoming a net-zero economy by 2053. </w:t>
      </w:r>
    </w:p>
    <w:p w14:paraId="4B06F034" w14:textId="52C4EA05" w:rsidR="00404C97" w:rsidRDefault="000B62F7" w:rsidP="00D80F3B">
      <w:pPr>
        <w:jc w:val="both"/>
      </w:pPr>
      <w:r>
        <w:rPr>
          <w:b/>
          <w:bCs/>
        </w:rPr>
        <w:t xml:space="preserve">In this context, </w:t>
      </w:r>
      <w:r w:rsidR="00DF3753" w:rsidRPr="00DF3753">
        <w:rPr>
          <w:b/>
          <w:bCs/>
        </w:rPr>
        <w:t>Türkiye is investing in its mainline rail connectivity along the Middle Corridor</w:t>
      </w:r>
      <w:r>
        <w:rPr>
          <w:b/>
          <w:bCs/>
        </w:rPr>
        <w:t xml:space="preserve"> as a priority</w:t>
      </w:r>
      <w:r w:rsidR="00DF3753" w:rsidRPr="00DF3753">
        <w:rPr>
          <w:b/>
          <w:bCs/>
        </w:rPr>
        <w:t>.</w:t>
      </w:r>
      <w:r w:rsidR="00DF3753">
        <w:rPr>
          <w:b/>
          <w:bCs/>
        </w:rPr>
        <w:t xml:space="preserve"> </w:t>
      </w:r>
      <w:r w:rsidR="00D80F3B">
        <w:t xml:space="preserve">These investments are being sequenced based on operational </w:t>
      </w:r>
      <w:r>
        <w:t>urgency</w:t>
      </w:r>
      <w:r w:rsidR="00D80F3B">
        <w:t xml:space="preserve">, with an initial focus on railway sections that are </w:t>
      </w:r>
      <w:r w:rsidR="00E076C7">
        <w:t>both</w:t>
      </w:r>
      <w:r w:rsidR="00D80F3B">
        <w:t xml:space="preserve"> </w:t>
      </w:r>
      <w:r w:rsidR="00E076C7">
        <w:t xml:space="preserve">in </w:t>
      </w:r>
      <w:r w:rsidR="00D80F3B">
        <w:t>need of modernization</w:t>
      </w:r>
      <w:r w:rsidR="00E076C7">
        <w:t xml:space="preserve"> and</w:t>
      </w:r>
      <w:r w:rsidR="00D80F3B">
        <w:t xml:space="preserve"> directly linked to railway border crossings along the corridor. </w:t>
      </w:r>
      <w:r>
        <w:t xml:space="preserve"> </w:t>
      </w:r>
      <w:r w:rsidR="00D80F3B">
        <w:t xml:space="preserve">Specifically, the Government of </w:t>
      </w:r>
      <w:proofErr w:type="spellStart"/>
      <w:r w:rsidR="00D80F3B">
        <w:t>Türkiye</w:t>
      </w:r>
      <w:proofErr w:type="spellEnd"/>
      <w:r w:rsidR="00D80F3B">
        <w:t xml:space="preserve"> (</w:t>
      </w:r>
      <w:proofErr w:type="spellStart"/>
      <w:r w:rsidR="00D80F3B">
        <w:t>GoT</w:t>
      </w:r>
      <w:proofErr w:type="spellEnd"/>
      <w:r w:rsidR="00D80F3B">
        <w:t xml:space="preserve">) is currently </w:t>
      </w:r>
      <w:r w:rsidR="00E076C7">
        <w:t>modernizing and expanding the freight and passenger carrying capacity of</w:t>
      </w:r>
      <w:r w:rsidR="00D80F3B">
        <w:t xml:space="preserve"> the </w:t>
      </w:r>
      <w:proofErr w:type="spellStart"/>
      <w:r w:rsidR="009F79C6" w:rsidRPr="002A2833">
        <w:rPr>
          <w:rFonts w:ascii="Arial" w:hAnsi="Arial" w:cs="Arial"/>
          <w:sz w:val="20"/>
          <w:szCs w:val="20"/>
        </w:rPr>
        <w:t>Halkal</w:t>
      </w:r>
      <w:r w:rsidR="009F79C6">
        <w:rPr>
          <w:rFonts w:ascii="Arial" w:hAnsi="Arial" w:cs="Arial"/>
          <w:sz w:val="20"/>
          <w:szCs w:val="20"/>
        </w:rPr>
        <w:t>ı</w:t>
      </w:r>
      <w:r w:rsidR="009F79C6" w:rsidRPr="002A2833">
        <w:rPr>
          <w:rFonts w:ascii="Arial" w:hAnsi="Arial" w:cs="Arial"/>
          <w:sz w:val="20"/>
          <w:szCs w:val="20"/>
        </w:rPr>
        <w:t>-Kap</w:t>
      </w:r>
      <w:r w:rsidR="009F79C6">
        <w:rPr>
          <w:rFonts w:ascii="Arial" w:hAnsi="Arial" w:cs="Arial"/>
          <w:sz w:val="20"/>
          <w:szCs w:val="20"/>
        </w:rPr>
        <w:t>ı</w:t>
      </w:r>
      <w:r w:rsidR="009F79C6" w:rsidRPr="002A2833">
        <w:rPr>
          <w:rFonts w:ascii="Arial" w:hAnsi="Arial" w:cs="Arial"/>
          <w:sz w:val="20"/>
          <w:szCs w:val="20"/>
        </w:rPr>
        <w:t>kule</w:t>
      </w:r>
      <w:proofErr w:type="spellEnd"/>
      <w:r w:rsidR="009F79C6" w:rsidRPr="002A2833">
        <w:rPr>
          <w:rFonts w:ascii="Arial" w:hAnsi="Arial" w:cs="Arial"/>
          <w:sz w:val="20"/>
          <w:szCs w:val="20"/>
        </w:rPr>
        <w:t xml:space="preserve"> </w:t>
      </w:r>
      <w:r w:rsidR="00D80F3B">
        <w:t>line</w:t>
      </w:r>
      <w:r w:rsidR="00E848DD">
        <w:t xml:space="preserve"> </w:t>
      </w:r>
      <w:r w:rsidR="00D80F3B">
        <w:t>at the westernmost end of the Turkish railway network</w:t>
      </w:r>
      <w:r w:rsidR="00E848DD">
        <w:t xml:space="preserve">, </w:t>
      </w:r>
      <w:r w:rsidR="00E076C7">
        <w:t>thus linking Türkiye’s network with the EU network at the Türkiye-Bulgaria border. This investment</w:t>
      </w:r>
      <w:r w:rsidR="00E848DD">
        <w:t>, in implementation since 2019,</w:t>
      </w:r>
      <w:r w:rsidR="00E076C7">
        <w:t xml:space="preserve"> </w:t>
      </w:r>
      <w:r w:rsidR="00E848DD">
        <w:t>has received</w:t>
      </w:r>
      <w:r w:rsidR="00D80F3B">
        <w:t xml:space="preserve"> financial support </w:t>
      </w:r>
      <w:r w:rsidR="00E848DD">
        <w:t>from</w:t>
      </w:r>
      <w:r w:rsidR="00D80F3B">
        <w:t xml:space="preserve"> the European Commission, the Asian Infrastructure Investment Bank (AIIB), and the European Bank for Reconstruction and Development (EBRD)</w:t>
      </w:r>
      <w:r w:rsidR="00E076C7">
        <w:t xml:space="preserve">. Similarly, the </w:t>
      </w:r>
      <w:proofErr w:type="spellStart"/>
      <w:r w:rsidR="00E076C7">
        <w:t>GoT</w:t>
      </w:r>
      <w:proofErr w:type="spellEnd"/>
      <w:r w:rsidR="00E076C7">
        <w:t xml:space="preserve"> is embarking on the modernization and capacity expansion of the </w:t>
      </w:r>
      <w:proofErr w:type="spellStart"/>
      <w:r w:rsidR="00E076C7" w:rsidRPr="00E076C7">
        <w:lastRenderedPageBreak/>
        <w:t>Divriği</w:t>
      </w:r>
      <w:proofErr w:type="spellEnd"/>
      <w:r w:rsidR="00E076C7">
        <w:t>-Kars-Georgia border railway line at the northeastern end of the network, liking Türkiye with Georgia via the Baku-Tbilisi-Kars railway line. This investment</w:t>
      </w:r>
      <w:r w:rsidR="00E848DD">
        <w:t>, which will launch implementation in December 2024,</w:t>
      </w:r>
      <w:r w:rsidR="00E076C7">
        <w:t xml:space="preserve"> is being financially supported by the World Bank, the Islamic Development Bank (</w:t>
      </w:r>
      <w:proofErr w:type="spellStart"/>
      <w:r w:rsidR="00E076C7">
        <w:t>IsDB</w:t>
      </w:r>
      <w:proofErr w:type="spellEnd"/>
      <w:r w:rsidR="00E076C7">
        <w:t xml:space="preserve">), and AIIB. With the </w:t>
      </w:r>
      <w:proofErr w:type="spellStart"/>
      <w:r w:rsidR="009F79C6" w:rsidRPr="002A2833">
        <w:rPr>
          <w:rFonts w:ascii="Arial" w:hAnsi="Arial" w:cs="Arial"/>
          <w:sz w:val="20"/>
          <w:szCs w:val="20"/>
        </w:rPr>
        <w:t>Halkal</w:t>
      </w:r>
      <w:r w:rsidR="009F79C6">
        <w:rPr>
          <w:rFonts w:ascii="Arial" w:hAnsi="Arial" w:cs="Arial"/>
          <w:sz w:val="20"/>
          <w:szCs w:val="20"/>
        </w:rPr>
        <w:t>ı</w:t>
      </w:r>
      <w:r w:rsidR="009F79C6" w:rsidRPr="002A2833">
        <w:rPr>
          <w:rFonts w:ascii="Arial" w:hAnsi="Arial" w:cs="Arial"/>
          <w:sz w:val="20"/>
          <w:szCs w:val="20"/>
        </w:rPr>
        <w:t>-Kap</w:t>
      </w:r>
      <w:r w:rsidR="009F79C6">
        <w:rPr>
          <w:rFonts w:ascii="Arial" w:hAnsi="Arial" w:cs="Arial"/>
          <w:sz w:val="20"/>
          <w:szCs w:val="20"/>
        </w:rPr>
        <w:t>ı</w:t>
      </w:r>
      <w:r w:rsidR="009F79C6" w:rsidRPr="002A2833">
        <w:rPr>
          <w:rFonts w:ascii="Arial" w:hAnsi="Arial" w:cs="Arial"/>
          <w:sz w:val="20"/>
          <w:szCs w:val="20"/>
        </w:rPr>
        <w:t>kule</w:t>
      </w:r>
      <w:proofErr w:type="spellEnd"/>
      <w:r w:rsidR="009F79C6" w:rsidRPr="002A2833">
        <w:rPr>
          <w:rFonts w:ascii="Arial" w:hAnsi="Arial" w:cs="Arial"/>
          <w:sz w:val="20"/>
          <w:szCs w:val="20"/>
        </w:rPr>
        <w:t xml:space="preserve"> </w:t>
      </w:r>
      <w:r w:rsidR="00E076C7">
        <w:t xml:space="preserve">line </w:t>
      </w:r>
      <w:r w:rsidR="00E848DD">
        <w:t>upgrades ongoing</w:t>
      </w:r>
      <w:r w:rsidR="00E076C7">
        <w:t xml:space="preserve">, World Bank research shows that the single most capacity-constrained railway section across the entire length of the Middle Corridor, from the China-Kazakhstan border to the Türkiye-Bulgaria border, is the </w:t>
      </w:r>
      <w:proofErr w:type="spellStart"/>
      <w:r w:rsidR="00E076C7" w:rsidRPr="00E076C7">
        <w:t>Divriği</w:t>
      </w:r>
      <w:proofErr w:type="spellEnd"/>
      <w:r w:rsidR="00E076C7">
        <w:t xml:space="preserve">-Kars-Georgia border railway line, </w:t>
      </w:r>
      <w:r w:rsidR="00E848DD">
        <w:t>thus justifying</w:t>
      </w:r>
      <w:r w:rsidR="00E076C7">
        <w:t xml:space="preserve"> its prioritization.</w:t>
      </w:r>
    </w:p>
    <w:p w14:paraId="5E47F072" w14:textId="6752A70B" w:rsidR="00A57F4E" w:rsidRDefault="00E848DD" w:rsidP="00D80F3B">
      <w:pPr>
        <w:jc w:val="both"/>
      </w:pPr>
      <w:r>
        <w:rPr>
          <w:b/>
          <w:bCs/>
        </w:rPr>
        <w:t xml:space="preserve">As the </w:t>
      </w:r>
      <w:r w:rsidR="00E076C7" w:rsidRPr="00E076C7">
        <w:rPr>
          <w:b/>
          <w:bCs/>
        </w:rPr>
        <w:t xml:space="preserve">eastern and western ends of the Turkish network along the Middle Corridor </w:t>
      </w:r>
      <w:r>
        <w:rPr>
          <w:b/>
          <w:bCs/>
        </w:rPr>
        <w:t xml:space="preserve">are </w:t>
      </w:r>
      <w:r w:rsidR="00E076C7" w:rsidRPr="00E076C7">
        <w:rPr>
          <w:b/>
          <w:bCs/>
        </w:rPr>
        <w:t>being addressed, the next major bottleneck</w:t>
      </w:r>
      <w:r w:rsidR="00A955E5">
        <w:rPr>
          <w:b/>
          <w:bCs/>
        </w:rPr>
        <w:t>,</w:t>
      </w:r>
      <w:r w:rsidR="00E076C7" w:rsidRPr="00E076C7">
        <w:rPr>
          <w:b/>
          <w:bCs/>
        </w:rPr>
        <w:t xml:space="preserve"> expected to become a binding constraint to rail freight flows across the country</w:t>
      </w:r>
      <w:r w:rsidR="00A955E5">
        <w:rPr>
          <w:b/>
          <w:bCs/>
        </w:rPr>
        <w:t xml:space="preserve"> by the early to mid-2030s,</w:t>
      </w:r>
      <w:r w:rsidR="00E076C7" w:rsidRPr="00E076C7">
        <w:rPr>
          <w:b/>
          <w:bCs/>
        </w:rPr>
        <w:t xml:space="preserve"> is the crossing of the Bosphorus </w:t>
      </w:r>
      <w:r w:rsidR="00E076C7">
        <w:rPr>
          <w:b/>
          <w:bCs/>
        </w:rPr>
        <w:t xml:space="preserve">Strait </w:t>
      </w:r>
      <w:r w:rsidR="00E076C7" w:rsidRPr="00E076C7">
        <w:rPr>
          <w:b/>
          <w:bCs/>
        </w:rPr>
        <w:t>in Istanbul.</w:t>
      </w:r>
      <w:r w:rsidR="00E076C7">
        <w:rPr>
          <w:b/>
          <w:bCs/>
        </w:rPr>
        <w:t xml:space="preserve"> </w:t>
      </w:r>
      <w:r w:rsidR="00E076C7" w:rsidRPr="00E076C7">
        <w:rPr>
          <w:b/>
          <w:bCs/>
        </w:rPr>
        <w:t xml:space="preserve"> </w:t>
      </w:r>
      <w:r>
        <w:t>Under current conditions,</w:t>
      </w:r>
      <w:r w:rsidR="00E076C7">
        <w:t xml:space="preserve"> rail freight and passenger flows across the Bosphorus can only take place via the </w:t>
      </w:r>
      <w:r w:rsidR="00A955E5">
        <w:t xml:space="preserve">underwater </w:t>
      </w:r>
      <w:proofErr w:type="spellStart"/>
      <w:r w:rsidR="00E076C7">
        <w:t>Marmaray</w:t>
      </w:r>
      <w:proofErr w:type="spellEnd"/>
      <w:r w:rsidR="00E076C7">
        <w:t xml:space="preserve"> tunnel</w:t>
      </w:r>
      <w:r w:rsidR="00A955E5">
        <w:t>.</w:t>
      </w:r>
      <w:r w:rsidR="00E076C7">
        <w:t xml:space="preserve"> </w:t>
      </w:r>
      <w:r w:rsidR="00DA0416">
        <w:t xml:space="preserve">The </w:t>
      </w:r>
      <w:proofErr w:type="spellStart"/>
      <w:r w:rsidR="00A955E5">
        <w:t>Marmaray</w:t>
      </w:r>
      <w:proofErr w:type="spellEnd"/>
      <w:r w:rsidR="00DA0416">
        <w:t xml:space="preserve"> tunnel</w:t>
      </w:r>
      <w:r w:rsidR="00A955E5">
        <w:t xml:space="preserve"> is a</w:t>
      </w:r>
      <w:r w:rsidR="00E076C7">
        <w:t xml:space="preserve"> particularly pressing bottleneck for freight, as </w:t>
      </w:r>
      <w:r w:rsidR="00DA0416">
        <w:t xml:space="preserve">it </w:t>
      </w:r>
      <w:r w:rsidR="00E076C7">
        <w:t xml:space="preserve">is only </w:t>
      </w:r>
      <w:r w:rsidR="00A955E5">
        <w:t>available</w:t>
      </w:r>
      <w:r w:rsidR="00E076C7">
        <w:t xml:space="preserve"> for freight crossings for a few hours at night. In addition to severely limiting the tunnel’s freight carrying capacity, the fact that the tunnel is used around the clock</w:t>
      </w:r>
      <w:r w:rsidR="00DA0416">
        <w:t xml:space="preserve"> </w:t>
      </w:r>
      <w:r w:rsidR="00E076C7">
        <w:t xml:space="preserve">to allocate passenger </w:t>
      </w:r>
      <w:r w:rsidR="00DA0416">
        <w:t xml:space="preserve">during the daytime and evening hours </w:t>
      </w:r>
      <w:r w:rsidR="00E076C7">
        <w:t xml:space="preserve">and freight </w:t>
      </w:r>
      <w:r w:rsidR="00A57F4E">
        <w:t>activity</w:t>
      </w:r>
      <w:r w:rsidR="00DA0416">
        <w:t xml:space="preserve"> during the overnight hours</w:t>
      </w:r>
      <w:r w:rsidR="00A57F4E">
        <w:t xml:space="preserve"> means that the tunnel does not have sufficient downtime to </w:t>
      </w:r>
      <w:r w:rsidR="00DA0416">
        <w:t xml:space="preserve">undertake </w:t>
      </w:r>
      <w:r w:rsidR="00A57F4E">
        <w:t>routine maintenance, further exacerbat</w:t>
      </w:r>
      <w:r w:rsidR="00DA0416">
        <w:t>ing</w:t>
      </w:r>
      <w:r w:rsidR="00A57F4E">
        <w:t xml:space="preserve"> the tunnel’s transportation capacity limitations</w:t>
      </w:r>
      <w:r w:rsidR="003858C7">
        <w:t xml:space="preserve"> and long-term sustainability</w:t>
      </w:r>
      <w:r w:rsidR="00A57F4E">
        <w:t xml:space="preserve">. For freight operations, the only available alternative to </w:t>
      </w:r>
      <w:proofErr w:type="spellStart"/>
      <w:r w:rsidR="00A57F4E">
        <w:t>Marmaray</w:t>
      </w:r>
      <w:proofErr w:type="spellEnd"/>
      <w:r w:rsidR="00A57F4E">
        <w:t xml:space="preserve"> tunnel crossings is to transship freight from rail to truck</w:t>
      </w:r>
      <w:r w:rsidR="00DA0416">
        <w:t>, travel across the Bosphorus by truck,</w:t>
      </w:r>
      <w:r w:rsidR="00A57F4E">
        <w:t xml:space="preserve"> and </w:t>
      </w:r>
      <w:r w:rsidR="00DA0416">
        <w:t xml:space="preserve">transfer the freight </w:t>
      </w:r>
      <w:r w:rsidR="00A57F4E">
        <w:t xml:space="preserve">back to rail </w:t>
      </w:r>
      <w:r w:rsidR="003858C7">
        <w:t>at</w:t>
      </w:r>
      <w:r w:rsidR="00DA0416">
        <w:t xml:space="preserve"> the other side of the Strait. This transshipment operation, which takes place in a densely populated metropolitan area,</w:t>
      </w:r>
      <w:r w:rsidR="00A57F4E">
        <w:t xml:space="preserve"> is highly inefficient, increases logistics costs, has sizable congestion and other negative externality implications for Istanbul, and makes the Türkiye branch of the Middle Corridor less attractive relative to its Black Sea branch</w:t>
      </w:r>
      <w:r w:rsidR="00DA0416">
        <w:t xml:space="preserve"> (via Georgia and across the Black </w:t>
      </w:r>
      <w:r w:rsidR="009F79C6">
        <w:t>S</w:t>
      </w:r>
      <w:r w:rsidR="00DA0416">
        <w:t>ea)</w:t>
      </w:r>
      <w:r w:rsidR="00A57F4E">
        <w:t xml:space="preserve">. For passenger operations, an alternative to the </w:t>
      </w:r>
      <w:proofErr w:type="spellStart"/>
      <w:r w:rsidR="00A57F4E">
        <w:t>Marmaray</w:t>
      </w:r>
      <w:proofErr w:type="spellEnd"/>
      <w:r w:rsidR="00A57F4E">
        <w:t xml:space="preserve"> tunnel would increase operational resilience to strengthen urban </w:t>
      </w:r>
      <w:r w:rsidR="009A5DBF">
        <w:t>mobility and</w:t>
      </w:r>
      <w:r w:rsidR="00A57F4E">
        <w:t xml:space="preserve"> could bring </w:t>
      </w:r>
      <w:r w:rsidR="004650F2">
        <w:t xml:space="preserve">high-speed </w:t>
      </w:r>
      <w:r w:rsidR="00A57F4E">
        <w:t xml:space="preserve">inter-city connectivity to parts of the Istanbul metropolitan area not </w:t>
      </w:r>
      <w:r w:rsidR="003858C7">
        <w:t xml:space="preserve">currently </w:t>
      </w:r>
      <w:r w:rsidR="00A57F4E">
        <w:t xml:space="preserve">served by passenger rail, including </w:t>
      </w:r>
      <w:r w:rsidR="00DA0416">
        <w:t>major nodes like Istanbul’s two airports</w:t>
      </w:r>
      <w:r w:rsidR="00A57F4E">
        <w:t>.</w:t>
      </w:r>
    </w:p>
    <w:p w14:paraId="6EC4EC67" w14:textId="77777777" w:rsidR="0052106B" w:rsidRDefault="00B91718" w:rsidP="0052106B">
      <w:pPr>
        <w:pStyle w:val="Balk1"/>
        <w:numPr>
          <w:ilvl w:val="0"/>
          <w:numId w:val="7"/>
        </w:numPr>
      </w:pPr>
      <w:bookmarkStart w:id="1" w:name="_Toc188986834"/>
      <w:r>
        <w:t>The Istanbul North Rail Crossing Project (INRAIL)</w:t>
      </w:r>
      <w:bookmarkEnd w:id="1"/>
      <w:r w:rsidR="0052106B">
        <w:t xml:space="preserve"> </w:t>
      </w:r>
    </w:p>
    <w:p w14:paraId="3E904894" w14:textId="77777777" w:rsidR="0052106B" w:rsidRDefault="0052106B" w:rsidP="0052106B">
      <w:pPr>
        <w:pStyle w:val="Balk2"/>
      </w:pPr>
    </w:p>
    <w:p w14:paraId="491B2252" w14:textId="6A118E63" w:rsidR="00B91718" w:rsidRDefault="0052106B" w:rsidP="0052106B">
      <w:pPr>
        <w:pStyle w:val="Balk2"/>
      </w:pPr>
      <w:bookmarkStart w:id="2" w:name="_Toc188986835"/>
      <w:r>
        <w:t>2.1 Project Description</w:t>
      </w:r>
      <w:bookmarkEnd w:id="2"/>
    </w:p>
    <w:p w14:paraId="68E07755" w14:textId="77777777" w:rsidR="00B91718" w:rsidRPr="00B91718" w:rsidRDefault="00B91718" w:rsidP="00B91718"/>
    <w:p w14:paraId="290E4285" w14:textId="7ED287C4" w:rsidR="00A57F4E" w:rsidRDefault="00943BC4" w:rsidP="00D80F3B">
      <w:pPr>
        <w:jc w:val="both"/>
      </w:pPr>
      <w:r w:rsidRPr="00943BC4">
        <w:rPr>
          <w:b/>
          <w:bCs/>
        </w:rPr>
        <w:t xml:space="preserve">Providing a high-capacity, alternate overland railway crossing across the Bosphorus is the next railway investment priority under the </w:t>
      </w:r>
      <w:proofErr w:type="spellStart"/>
      <w:r w:rsidRPr="00943BC4">
        <w:rPr>
          <w:b/>
          <w:bCs/>
        </w:rPr>
        <w:t>GoT’s</w:t>
      </w:r>
      <w:proofErr w:type="spellEnd"/>
      <w:r w:rsidRPr="00943BC4">
        <w:rPr>
          <w:b/>
          <w:bCs/>
        </w:rPr>
        <w:t xml:space="preserve"> trade corridors and </w:t>
      </w:r>
      <w:r w:rsidR="004650F2">
        <w:rPr>
          <w:b/>
          <w:bCs/>
        </w:rPr>
        <w:t xml:space="preserve">inter-city </w:t>
      </w:r>
      <w:r w:rsidR="00DA0416">
        <w:rPr>
          <w:b/>
          <w:bCs/>
        </w:rPr>
        <w:t xml:space="preserve">passenger </w:t>
      </w:r>
      <w:r w:rsidRPr="00943BC4">
        <w:rPr>
          <w:b/>
          <w:bCs/>
        </w:rPr>
        <w:t>connectivity strategy.</w:t>
      </w:r>
      <w:r>
        <w:t xml:space="preserve"> </w:t>
      </w:r>
      <w:r w:rsidR="00A64225">
        <w:t xml:space="preserve">By in effect completing the </w:t>
      </w:r>
      <w:r w:rsidR="00DA0416">
        <w:t xml:space="preserve">uninterrupted </w:t>
      </w:r>
      <w:r w:rsidR="00A64225">
        <w:t xml:space="preserve">overland length of the </w:t>
      </w:r>
      <w:r w:rsidR="00DA0416">
        <w:t xml:space="preserve">rail-based </w:t>
      </w:r>
      <w:r w:rsidR="00A64225">
        <w:t>Middle Corridor across Türkiye, c</w:t>
      </w:r>
      <w:r>
        <w:t>onstruction of an alternate railway crossing</w:t>
      </w:r>
      <w:r w:rsidR="00A64225">
        <w:t xml:space="preserve"> of the Bosphorus</w:t>
      </w:r>
      <w:r>
        <w:t xml:space="preserve"> would</w:t>
      </w:r>
      <w:r w:rsidR="00A64225">
        <w:t xml:space="preserve"> further position the country as a transit hub and logistics base of the Middle Corridor</w:t>
      </w:r>
      <w:r w:rsidR="00DA0416">
        <w:t>. This would</w:t>
      </w:r>
      <w:r w:rsidR="00A64225">
        <w:t xml:space="preserve"> boost trade, attract revenue-generating transit traffic, and positioning </w:t>
      </w:r>
      <w:r w:rsidR="00DA0416">
        <w:t>Türkiye</w:t>
      </w:r>
      <w:r w:rsidR="00A64225">
        <w:t xml:space="preserve"> as a facilitator of global </w:t>
      </w:r>
      <w:r w:rsidR="00DA0416">
        <w:t>commerce</w:t>
      </w:r>
      <w:r>
        <w:t xml:space="preserve">. </w:t>
      </w:r>
      <w:r w:rsidR="00C5720F">
        <w:t>In addition to the Middle Corridor,</w:t>
      </w:r>
      <w:r>
        <w:t xml:space="preserve"> the crossing would serve other intercontinental, import-export, and purely domestic trade corridors that pass</w:t>
      </w:r>
      <w:r w:rsidR="0045662F">
        <w:t xml:space="preserve"> </w:t>
      </w:r>
      <w:r>
        <w:t xml:space="preserve">through Istanbul, most notably (a) the proposed </w:t>
      </w:r>
      <w:r w:rsidRPr="00C5720F">
        <w:rPr>
          <w:b/>
          <w:bCs/>
        </w:rPr>
        <w:t>Iraq Development Road</w:t>
      </w:r>
      <w:r w:rsidR="00DA0416">
        <w:rPr>
          <w:b/>
          <w:bCs/>
        </w:rPr>
        <w:t xml:space="preserve"> </w:t>
      </w:r>
      <w:r w:rsidR="00DA0416" w:rsidRPr="00DA0416">
        <w:t>intercontinental link</w:t>
      </w:r>
      <w:r>
        <w:t xml:space="preserve">, and (b) </w:t>
      </w:r>
      <w:r w:rsidR="00A64225">
        <w:t>Türkiye’s</w:t>
      </w:r>
      <w:r>
        <w:t xml:space="preserve"> sizable volumes of exports to the European Union, a significant portion of which </w:t>
      </w:r>
      <w:r w:rsidR="00A64225">
        <w:t xml:space="preserve">originate at points west of Istanbul. </w:t>
      </w:r>
      <w:r w:rsidR="00C5720F">
        <w:t>T</w:t>
      </w:r>
      <w:r w:rsidR="00A64225">
        <w:t xml:space="preserve">he crossing would </w:t>
      </w:r>
      <w:r w:rsidR="00C5720F">
        <w:t xml:space="preserve">further </w:t>
      </w:r>
      <w:r w:rsidR="00DA0416">
        <w:t>generate</w:t>
      </w:r>
      <w:r w:rsidR="00A64225">
        <w:t xml:space="preserve"> significant benefits to urban mobility and livability in Istanbul, by helping take heavy truck traffic off the roads that </w:t>
      </w:r>
      <w:r w:rsidR="00A64225">
        <w:lastRenderedPageBreak/>
        <w:t xml:space="preserve">traverse the metropolitan area and incentivizing public transit adoption, thus reducing congestion and associated emissions of greenhouse gases and local pollutants from road vehicles, reducing wear-and-tear of local roads and motorways, and </w:t>
      </w:r>
      <w:r w:rsidR="00DA0416">
        <w:t xml:space="preserve">improving </w:t>
      </w:r>
      <w:r w:rsidR="00A64225">
        <w:t>road safety.</w:t>
      </w:r>
    </w:p>
    <w:p w14:paraId="25E0FAF5" w14:textId="1FFB1458" w:rsidR="006135AF" w:rsidRPr="006135AF" w:rsidRDefault="00A64225" w:rsidP="006135AF">
      <w:pPr>
        <w:jc w:val="both"/>
      </w:pPr>
      <w:r w:rsidRPr="00C5720F">
        <w:rPr>
          <w:b/>
          <w:bCs/>
        </w:rPr>
        <w:t xml:space="preserve">The </w:t>
      </w:r>
      <w:proofErr w:type="spellStart"/>
      <w:r w:rsidRPr="00C5720F">
        <w:rPr>
          <w:b/>
          <w:bCs/>
        </w:rPr>
        <w:t>GoT</w:t>
      </w:r>
      <w:proofErr w:type="spellEnd"/>
      <w:r w:rsidRPr="00C5720F">
        <w:rPr>
          <w:b/>
          <w:bCs/>
        </w:rPr>
        <w:t xml:space="preserve"> intends to build the proposed alternate crossing as a</w:t>
      </w:r>
      <w:r w:rsidR="00981B96">
        <w:rPr>
          <w:b/>
          <w:bCs/>
        </w:rPr>
        <w:t>n approximately</w:t>
      </w:r>
      <w:r w:rsidR="00C5720F">
        <w:rPr>
          <w:b/>
          <w:bCs/>
        </w:rPr>
        <w:t xml:space="preserve"> 122-km greenfield</w:t>
      </w:r>
      <w:r w:rsidRPr="00C5720F">
        <w:rPr>
          <w:b/>
          <w:bCs/>
        </w:rPr>
        <w:t xml:space="preserve"> </w:t>
      </w:r>
      <w:r w:rsidR="00305E9E">
        <w:rPr>
          <w:b/>
          <w:bCs/>
        </w:rPr>
        <w:t xml:space="preserve">railway bypass of the </w:t>
      </w:r>
      <w:r w:rsidR="009F79C6" w:rsidRPr="00C5720F">
        <w:rPr>
          <w:b/>
          <w:bCs/>
        </w:rPr>
        <w:t>Istanbul</w:t>
      </w:r>
      <w:r w:rsidRPr="00C5720F">
        <w:rPr>
          <w:b/>
          <w:bCs/>
        </w:rPr>
        <w:t xml:space="preserve"> metropolitan area</w:t>
      </w:r>
      <w:r w:rsidR="00B941FE">
        <w:rPr>
          <w:b/>
          <w:bCs/>
        </w:rPr>
        <w:t xml:space="preserve">: The </w:t>
      </w:r>
      <w:r w:rsidR="00D236F2">
        <w:rPr>
          <w:b/>
          <w:bCs/>
        </w:rPr>
        <w:t>Istanbul</w:t>
      </w:r>
      <w:r w:rsidR="00B941FE">
        <w:rPr>
          <w:b/>
          <w:bCs/>
        </w:rPr>
        <w:t xml:space="preserve"> North Rail Crossing Project (INRAIL) or the “Project”</w:t>
      </w:r>
      <w:r w:rsidR="00C5720F" w:rsidRPr="00C5720F">
        <w:rPr>
          <w:b/>
          <w:bCs/>
        </w:rPr>
        <w:t>.</w:t>
      </w:r>
      <w:r w:rsidR="00C5720F">
        <w:t xml:space="preserve"> The proposed </w:t>
      </w:r>
      <w:r w:rsidR="00B941FE">
        <w:t>railway</w:t>
      </w:r>
      <w:r w:rsidR="00E96C0A">
        <w:t xml:space="preserve"> bypass</w:t>
      </w:r>
      <w:r w:rsidR="00C5720F">
        <w:t xml:space="preserve"> would start at </w:t>
      </w:r>
      <w:r w:rsidR="00305E9E">
        <w:t xml:space="preserve">or near </w:t>
      </w:r>
      <w:r w:rsidR="00C5720F">
        <w:t xml:space="preserve">the </w:t>
      </w:r>
      <w:proofErr w:type="spellStart"/>
      <w:r w:rsidR="00C5720F" w:rsidRPr="00C5720F">
        <w:t>Çayırova</w:t>
      </w:r>
      <w:proofErr w:type="spellEnd"/>
      <w:r w:rsidR="00C5720F" w:rsidRPr="00C5720F">
        <w:t xml:space="preserve"> station on the Asian side</w:t>
      </w:r>
      <w:r w:rsidR="00C5720F">
        <w:t xml:space="preserve"> and end</w:t>
      </w:r>
      <w:r w:rsidR="00C5720F" w:rsidRPr="00C5720F">
        <w:t xml:space="preserve"> </w:t>
      </w:r>
      <w:r w:rsidR="00C5720F">
        <w:t xml:space="preserve">at </w:t>
      </w:r>
      <w:r w:rsidR="00C5720F" w:rsidRPr="00C5720F">
        <w:t xml:space="preserve">the </w:t>
      </w:r>
      <w:proofErr w:type="spellStart"/>
      <w:r w:rsidR="00C5720F" w:rsidRPr="00C5720F">
        <w:t>Çatalca</w:t>
      </w:r>
      <w:proofErr w:type="spellEnd"/>
      <w:r w:rsidR="00C5720F" w:rsidRPr="00C5720F">
        <w:t xml:space="preserve"> station on the European side, </w:t>
      </w:r>
      <w:r w:rsidR="00C5720F">
        <w:t xml:space="preserve">crossing the Bosphorus </w:t>
      </w:r>
      <w:r w:rsidR="008C3C84">
        <w:t xml:space="preserve">Strait </w:t>
      </w:r>
      <w:r w:rsidR="00C5720F" w:rsidRPr="00C5720F">
        <w:t>using the existing track space allocated on the Yavuz Sultan Selim (YSS) Bridge</w:t>
      </w:r>
      <w:r w:rsidR="00C5720F">
        <w:t xml:space="preserve"> </w:t>
      </w:r>
      <w:r w:rsidR="00305E9E">
        <w:t>at</w:t>
      </w:r>
      <w:r w:rsidR="00C5720F">
        <w:t xml:space="preserve"> the </w:t>
      </w:r>
      <w:r w:rsidR="00981B96">
        <w:t xml:space="preserve">Bosphorus’ </w:t>
      </w:r>
      <w:r w:rsidR="00C5720F">
        <w:t xml:space="preserve">northern end. The bypass is proposed as an electrified, fully signalized, mixed-used line to carry passengers and freight. It will be connected to the Turkish </w:t>
      </w:r>
      <w:r w:rsidR="00305E9E">
        <w:t xml:space="preserve">national </w:t>
      </w:r>
      <w:r w:rsidR="00C5720F">
        <w:t xml:space="preserve">high-speed rail network, with the intended capacity of moving passenger trains at a top </w:t>
      </w:r>
      <w:r w:rsidR="00305E9E">
        <w:t xml:space="preserve">design </w:t>
      </w:r>
      <w:r w:rsidR="00C5720F">
        <w:t>speed of 160km/h</w:t>
      </w:r>
      <w:r w:rsidR="00981B96">
        <w:t>.</w:t>
      </w:r>
      <w:r w:rsidR="00C5720F">
        <w:t xml:space="preserve"> </w:t>
      </w:r>
      <w:r w:rsidR="00981B96">
        <w:t>F</w:t>
      </w:r>
      <w:r w:rsidR="00C5720F">
        <w:t xml:space="preserve">reight trains </w:t>
      </w:r>
      <w:r w:rsidR="00981B96">
        <w:t xml:space="preserve">will </w:t>
      </w:r>
      <w:r w:rsidR="00C5720F">
        <w:t>mov</w:t>
      </w:r>
      <w:r w:rsidR="00981B96">
        <w:t xml:space="preserve">e </w:t>
      </w:r>
      <w:r w:rsidR="00C5720F">
        <w:t>at up to 80-120km/h. The line will connect</w:t>
      </w:r>
      <w:r w:rsidR="00C5720F" w:rsidRPr="00C5720F">
        <w:t xml:space="preserve"> Istanbul Airport on the European side to the </w:t>
      </w:r>
      <w:r w:rsidR="00305E9E">
        <w:t xml:space="preserve">urban and </w:t>
      </w:r>
      <w:r w:rsidR="00C5720F">
        <w:t xml:space="preserve">inter-city </w:t>
      </w:r>
      <w:r w:rsidR="00C5720F" w:rsidRPr="00C5720F">
        <w:t>rail</w:t>
      </w:r>
      <w:r w:rsidR="00C5720F">
        <w:t>way</w:t>
      </w:r>
      <w:r w:rsidR="00C5720F" w:rsidRPr="00C5720F">
        <w:t xml:space="preserve"> network</w:t>
      </w:r>
      <w:r w:rsidR="00C5720F">
        <w:t>, as well as</w:t>
      </w:r>
      <w:r w:rsidR="00C5720F" w:rsidRPr="00C5720F">
        <w:t xml:space="preserve"> Sabiha Gökçen Airport on the Asian side</w:t>
      </w:r>
      <w:r w:rsidR="00C5720F">
        <w:t xml:space="preserve">, thus facilitating </w:t>
      </w:r>
      <w:r w:rsidR="00305E9E">
        <w:t xml:space="preserve">(i) </w:t>
      </w:r>
      <w:r w:rsidR="00C5720F">
        <w:t xml:space="preserve">domestic and international </w:t>
      </w:r>
      <w:r w:rsidR="00305E9E">
        <w:t xml:space="preserve">air and rail </w:t>
      </w:r>
      <w:r w:rsidR="00C5720F">
        <w:t>passenger connectivity</w:t>
      </w:r>
      <w:r w:rsidR="00305E9E">
        <w:t>, and (ii) urban mobility within Istanbul</w:t>
      </w:r>
      <w:r w:rsidR="00C5720F" w:rsidRPr="00C5720F">
        <w:t>.</w:t>
      </w:r>
      <w:r w:rsidR="00981B96">
        <w:t xml:space="preserve"> The two airports will be the bypass line’s only two stations, with capacity to mobilize passenger flows and support multimodal logistics, including rail freight to air freight transfers.</w:t>
      </w:r>
      <w:r w:rsidR="008E5F8B">
        <w:t xml:space="preserve"> </w:t>
      </w:r>
    </w:p>
    <w:p w14:paraId="7DBBD228" w14:textId="77777777" w:rsidR="000A21CC" w:rsidRDefault="007E3CB2" w:rsidP="000A21CC">
      <w:pPr>
        <w:pStyle w:val="Default"/>
        <w:jc w:val="both"/>
        <w:rPr>
          <w:rFonts w:asciiTheme="minorHAnsi" w:hAnsiTheme="minorHAnsi" w:cstheme="minorBidi"/>
          <w:color w:val="auto"/>
          <w:kern w:val="2"/>
          <w:sz w:val="22"/>
          <w:szCs w:val="22"/>
        </w:rPr>
      </w:pPr>
      <w:r w:rsidRPr="007E3CB2">
        <w:rPr>
          <w:rFonts w:asciiTheme="minorHAnsi" w:hAnsiTheme="minorHAnsi" w:cstheme="minorBidi"/>
          <w:b/>
          <w:bCs/>
          <w:color w:val="auto"/>
          <w:kern w:val="2"/>
          <w:sz w:val="22"/>
          <w:szCs w:val="22"/>
        </w:rPr>
        <w:t xml:space="preserve">The Project involves the construction of multiple tunnels and viaducts: </w:t>
      </w:r>
      <w:r w:rsidR="006135AF" w:rsidRPr="007E3CB2">
        <w:rPr>
          <w:rFonts w:asciiTheme="minorHAnsi" w:hAnsiTheme="minorHAnsi" w:cstheme="minorBidi"/>
          <w:b/>
          <w:bCs/>
          <w:color w:val="auto"/>
          <w:kern w:val="2"/>
          <w:sz w:val="22"/>
          <w:szCs w:val="22"/>
        </w:rPr>
        <w:t xml:space="preserve">61 km out of 122 km of total project length (50%) </w:t>
      </w:r>
      <w:r>
        <w:rPr>
          <w:rFonts w:asciiTheme="minorHAnsi" w:hAnsiTheme="minorHAnsi" w:cstheme="minorBidi"/>
          <w:b/>
          <w:bCs/>
          <w:color w:val="auto"/>
          <w:kern w:val="2"/>
          <w:sz w:val="22"/>
          <w:szCs w:val="22"/>
        </w:rPr>
        <w:t>consists of these types of structures</w:t>
      </w:r>
      <w:r w:rsidR="006135AF" w:rsidRPr="007E3CB2">
        <w:rPr>
          <w:rFonts w:asciiTheme="minorHAnsi" w:hAnsiTheme="minorHAnsi" w:cstheme="minorBidi"/>
          <w:b/>
          <w:bCs/>
          <w:color w:val="auto"/>
          <w:kern w:val="2"/>
          <w:sz w:val="22"/>
          <w:szCs w:val="22"/>
        </w:rPr>
        <w:t>.</w:t>
      </w:r>
      <w:r w:rsidR="006135AF" w:rsidRPr="00BE63EC">
        <w:rPr>
          <w:rFonts w:asciiTheme="minorHAnsi" w:hAnsiTheme="minorHAnsi" w:cstheme="minorBidi"/>
          <w:color w:val="auto"/>
          <w:kern w:val="2"/>
          <w:sz w:val="22"/>
          <w:szCs w:val="22"/>
        </w:rPr>
        <w:t xml:space="preserve">  The Project includes 3 single-track boring machine (TBM) tunnels (~19.6 km in total), 19 double-track New Austrian Tunneling (NATM) tunnels (~21.5 km in total), 11 cut-and-cover tunnels (~5.3 km in total), and 29 viaducts (~14.7 km in total) along its alignment, in order to minimize environmental and social impacts. To feed electrification facilities, 154/25 kV transformer centers (3 units) are to be built. For signaling, ERTMS/ETCS /ATP/Level 1-2 automatic train protection and control systems will be installed. </w:t>
      </w:r>
    </w:p>
    <w:p w14:paraId="5317281D" w14:textId="77777777" w:rsidR="000A21CC" w:rsidRDefault="000A21CC" w:rsidP="000A21CC">
      <w:pPr>
        <w:pStyle w:val="Default"/>
        <w:jc w:val="both"/>
        <w:rPr>
          <w:rFonts w:asciiTheme="minorHAnsi" w:hAnsiTheme="minorHAnsi" w:cstheme="minorBidi"/>
          <w:color w:val="auto"/>
          <w:kern w:val="2"/>
          <w:sz w:val="22"/>
          <w:szCs w:val="22"/>
        </w:rPr>
      </w:pPr>
    </w:p>
    <w:p w14:paraId="7DF4ACDA" w14:textId="77777777" w:rsidR="00460ED9" w:rsidRDefault="000A21CC" w:rsidP="000A21CC">
      <w:pPr>
        <w:pStyle w:val="Default"/>
        <w:jc w:val="both"/>
        <w:rPr>
          <w:sz w:val="22"/>
          <w:szCs w:val="22"/>
        </w:rPr>
      </w:pPr>
      <w:r w:rsidRPr="000A21CC">
        <w:rPr>
          <w:b/>
          <w:bCs/>
          <w:sz w:val="22"/>
          <w:szCs w:val="22"/>
        </w:rPr>
        <w:t>The Project will be implemented by the Directorate-General of Infrastructure Investments (AYGM) of Türkiye’s Ministry of Transport and Infrastructure (</w:t>
      </w:r>
      <w:proofErr w:type="spellStart"/>
      <w:r w:rsidRPr="000A21CC">
        <w:rPr>
          <w:b/>
          <w:bCs/>
          <w:sz w:val="22"/>
          <w:szCs w:val="22"/>
        </w:rPr>
        <w:t>MoTI</w:t>
      </w:r>
      <w:proofErr w:type="spellEnd"/>
      <w:r w:rsidRPr="000A21CC">
        <w:rPr>
          <w:b/>
          <w:bCs/>
          <w:sz w:val="22"/>
          <w:szCs w:val="22"/>
        </w:rPr>
        <w:t>).</w:t>
      </w:r>
      <w:r w:rsidRPr="000A21CC">
        <w:rPr>
          <w:sz w:val="22"/>
          <w:szCs w:val="22"/>
        </w:rPr>
        <w:t xml:space="preserve"> </w:t>
      </w:r>
      <w:r>
        <w:rPr>
          <w:sz w:val="22"/>
          <w:szCs w:val="22"/>
        </w:rPr>
        <w:t>Once the Project is built, o</w:t>
      </w:r>
      <w:r w:rsidRPr="000A21CC">
        <w:rPr>
          <w:sz w:val="22"/>
          <w:szCs w:val="22"/>
        </w:rPr>
        <w:t xml:space="preserve">perations will be managed by the State Railways of the Republic of Turkey (TCDD), a government-owned national holding company under the </w:t>
      </w:r>
      <w:proofErr w:type="spellStart"/>
      <w:r w:rsidRPr="000A21CC">
        <w:rPr>
          <w:sz w:val="22"/>
          <w:szCs w:val="22"/>
        </w:rPr>
        <w:t>MoTI</w:t>
      </w:r>
      <w:proofErr w:type="spellEnd"/>
      <w:r w:rsidRPr="000A21CC">
        <w:rPr>
          <w:sz w:val="22"/>
          <w:szCs w:val="22"/>
        </w:rPr>
        <w:t>, responsible for ownership and maintenance of the railway infrastructure in Turkey.</w:t>
      </w:r>
    </w:p>
    <w:p w14:paraId="599B686D" w14:textId="3DFAF4AC" w:rsidR="0052106B" w:rsidRDefault="0052106B" w:rsidP="00D80F3B">
      <w:pPr>
        <w:jc w:val="both"/>
      </w:pPr>
    </w:p>
    <w:p w14:paraId="3AD1EA72" w14:textId="3CE6D34E" w:rsidR="0052106B" w:rsidRDefault="0052106B" w:rsidP="0052106B">
      <w:pPr>
        <w:pStyle w:val="Balk2"/>
      </w:pPr>
      <w:bookmarkStart w:id="3" w:name="_Toc188986836"/>
      <w:r>
        <w:t>2.2 Procurement and Financing</w:t>
      </w:r>
      <w:bookmarkEnd w:id="3"/>
    </w:p>
    <w:p w14:paraId="1167B180" w14:textId="77777777" w:rsidR="008F3417" w:rsidRDefault="008F3417" w:rsidP="00E96C0A">
      <w:pPr>
        <w:jc w:val="both"/>
        <w:rPr>
          <w:b/>
          <w:bCs/>
        </w:rPr>
      </w:pPr>
    </w:p>
    <w:p w14:paraId="6D472CCA" w14:textId="3F4A119D" w:rsidR="000A21CC" w:rsidRDefault="000A21CC" w:rsidP="00E96C0A">
      <w:pPr>
        <w:jc w:val="both"/>
      </w:pPr>
      <w:r w:rsidRPr="008F3417">
        <w:rPr>
          <w:b/>
          <w:bCs/>
        </w:rPr>
        <w:t xml:space="preserve">AYGM </w:t>
      </w:r>
      <w:r w:rsidRPr="000A21CC">
        <w:t xml:space="preserve">intends to </w:t>
      </w:r>
      <w:bookmarkStart w:id="4" w:name="_GoBack"/>
      <w:bookmarkEnd w:id="4"/>
      <w:r w:rsidRPr="000A21CC">
        <w:t>raise financing for, and build the bypass line over the next 6-7 years, by approximately mid-2032 at latest.</w:t>
      </w:r>
      <w:r w:rsidR="00131099">
        <w:t xml:space="preserve"> </w:t>
      </w:r>
      <w:r w:rsidR="00131099" w:rsidRPr="00131099">
        <w:t xml:space="preserve">The </w:t>
      </w:r>
      <w:r w:rsidR="00131099">
        <w:t>delivery of infrastructure and equipment</w:t>
      </w:r>
      <w:r w:rsidR="00131099" w:rsidRPr="00131099">
        <w:t xml:space="preserve"> will be based on a concept design for the </w:t>
      </w:r>
      <w:r w:rsidR="00460ED9">
        <w:t>P</w:t>
      </w:r>
      <w:r w:rsidR="00131099" w:rsidRPr="00131099">
        <w:t>roject.</w:t>
      </w:r>
    </w:p>
    <w:p w14:paraId="7B1C5E7F" w14:textId="77777777" w:rsidR="008F3417" w:rsidRDefault="008F3417" w:rsidP="008F3417">
      <w:pPr>
        <w:jc w:val="both"/>
      </w:pPr>
      <w:r w:rsidRPr="00074773">
        <w:rPr>
          <w:b/>
          <w:bCs/>
        </w:rPr>
        <w:t xml:space="preserve">The </w:t>
      </w:r>
      <w:r>
        <w:rPr>
          <w:b/>
          <w:bCs/>
        </w:rPr>
        <w:t>P</w:t>
      </w:r>
      <w:r w:rsidRPr="00074773">
        <w:rPr>
          <w:b/>
          <w:bCs/>
        </w:rPr>
        <w:t xml:space="preserve">roject is expected to </w:t>
      </w:r>
      <w:r>
        <w:rPr>
          <w:b/>
          <w:bCs/>
        </w:rPr>
        <w:t>be developed in three</w:t>
      </w:r>
      <w:r w:rsidRPr="00074773">
        <w:rPr>
          <w:b/>
          <w:bCs/>
        </w:rPr>
        <w:t xml:space="preserve"> </w:t>
      </w:r>
      <w:r>
        <w:rPr>
          <w:b/>
          <w:bCs/>
        </w:rPr>
        <w:t>(</w:t>
      </w:r>
      <w:r w:rsidRPr="00074773">
        <w:rPr>
          <w:b/>
          <w:bCs/>
        </w:rPr>
        <w:t>3</w:t>
      </w:r>
      <w:r>
        <w:rPr>
          <w:b/>
          <w:bCs/>
        </w:rPr>
        <w:t>)</w:t>
      </w:r>
      <w:r w:rsidRPr="00074773">
        <w:rPr>
          <w:b/>
          <w:bCs/>
        </w:rPr>
        <w:t xml:space="preserve"> sections</w:t>
      </w:r>
      <w:r>
        <w:rPr>
          <w:b/>
          <w:bCs/>
        </w:rPr>
        <w:t>:</w:t>
      </w:r>
      <w:r>
        <w:t xml:space="preserve"> </w:t>
      </w:r>
    </w:p>
    <w:p w14:paraId="0A62207B" w14:textId="77777777" w:rsidR="008F3417" w:rsidRDefault="008F3417" w:rsidP="008F3417">
      <w:pPr>
        <w:pStyle w:val="ListeParagraf"/>
        <w:numPr>
          <w:ilvl w:val="0"/>
          <w:numId w:val="8"/>
        </w:numPr>
        <w:jc w:val="both"/>
      </w:pPr>
      <w:r w:rsidRPr="00D279DD">
        <w:rPr>
          <w:b/>
          <w:bCs/>
        </w:rPr>
        <w:t>Section 1</w:t>
      </w:r>
      <w:r>
        <w:t xml:space="preserve"> (approximately 40.2 km in length) starts at or near the </w:t>
      </w:r>
      <w:proofErr w:type="spellStart"/>
      <w:r>
        <w:t>Çayırova</w:t>
      </w:r>
      <w:proofErr w:type="spellEnd"/>
      <w:r>
        <w:t xml:space="preserve"> station along the main high-speed rail network, passes nearby (or possibly through) Sabiha Gökçen Airport Station and continues to Km:38+330.  </w:t>
      </w:r>
    </w:p>
    <w:p w14:paraId="7184C95A" w14:textId="77777777" w:rsidR="008F3417" w:rsidRDefault="008F3417" w:rsidP="008F3417">
      <w:pPr>
        <w:pStyle w:val="ListeParagraf"/>
        <w:numPr>
          <w:ilvl w:val="0"/>
          <w:numId w:val="8"/>
        </w:numPr>
        <w:jc w:val="both"/>
      </w:pPr>
      <w:r w:rsidRPr="00D279DD">
        <w:rPr>
          <w:b/>
          <w:bCs/>
        </w:rPr>
        <w:t>Section 2</w:t>
      </w:r>
      <w:r>
        <w:t xml:space="preserve"> (approximately 40.1 km) starts from the end of Section 1, traverses YSS Bridge, and ends about 12 km before Istanbul Airport. </w:t>
      </w:r>
    </w:p>
    <w:p w14:paraId="477553CB" w14:textId="1C2AEAE5" w:rsidR="008F3417" w:rsidRDefault="008F3417" w:rsidP="00E96C0A">
      <w:pPr>
        <w:pStyle w:val="ListeParagraf"/>
        <w:numPr>
          <w:ilvl w:val="0"/>
          <w:numId w:val="8"/>
        </w:numPr>
        <w:jc w:val="both"/>
      </w:pPr>
      <w:r w:rsidRPr="00D279DD">
        <w:rPr>
          <w:b/>
          <w:bCs/>
        </w:rPr>
        <w:lastRenderedPageBreak/>
        <w:t>Section 3</w:t>
      </w:r>
      <w:r>
        <w:t xml:space="preserve"> (approximately 41.0 km) starts at the end of Section 1 at Km:19+540, enters Istanbul Airport Station at Km: 31+420 and continues until Km: 28+242.92 at </w:t>
      </w:r>
      <w:proofErr w:type="spellStart"/>
      <w:r>
        <w:t>Çatalca</w:t>
      </w:r>
      <w:proofErr w:type="spellEnd"/>
      <w:r>
        <w:t xml:space="preserve"> Connection-1.  </w:t>
      </w:r>
    </w:p>
    <w:p w14:paraId="5F40445B" w14:textId="52937E87" w:rsidR="00E96C0A" w:rsidRDefault="00E96C0A" w:rsidP="00E96C0A">
      <w:pPr>
        <w:jc w:val="both"/>
      </w:pPr>
      <w:r w:rsidRPr="007E3CB2">
        <w:rPr>
          <w:b/>
          <w:bCs/>
        </w:rPr>
        <w:t>The Project is likely to be financed by a combination of development and commercial financing, possibly including co-financing</w:t>
      </w:r>
      <w:r w:rsidR="00756FF1">
        <w:rPr>
          <w:b/>
          <w:bCs/>
        </w:rPr>
        <w:t xml:space="preserve"> and guarantees</w:t>
      </w:r>
      <w:r w:rsidRPr="007E3CB2">
        <w:rPr>
          <w:b/>
          <w:bCs/>
        </w:rPr>
        <w:t xml:space="preserve"> by multiple international financial institutions (IFIs)</w:t>
      </w:r>
      <w:r w:rsidR="007E3CB2">
        <w:rPr>
          <w:b/>
          <w:bCs/>
        </w:rPr>
        <w:t xml:space="preserve">, including the </w:t>
      </w:r>
      <w:r w:rsidRPr="007E3CB2">
        <w:rPr>
          <w:b/>
          <w:bCs/>
        </w:rPr>
        <w:t>World Bank.</w:t>
      </w:r>
      <w:r>
        <w:t xml:space="preserve"> Raising IFI financing </w:t>
      </w:r>
      <w:r w:rsidR="00756FF1">
        <w:t xml:space="preserve">and/or guarantees </w:t>
      </w:r>
      <w:r>
        <w:t xml:space="preserve">will require confirmation that the procurement methods used </w:t>
      </w:r>
      <w:r w:rsidR="00382231">
        <w:t>follow international standards providing for competition</w:t>
      </w:r>
      <w:r w:rsidR="00671F6C">
        <w:t xml:space="preserve"> </w:t>
      </w:r>
      <w:r w:rsidR="005C5CB2">
        <w:t xml:space="preserve">to achieve </w:t>
      </w:r>
      <w:r>
        <w:t>economy, efficiency</w:t>
      </w:r>
      <w:r w:rsidR="00CD16CD">
        <w:t>, value for money,</w:t>
      </w:r>
      <w:r>
        <w:t xml:space="preserve"> and transparency</w:t>
      </w:r>
      <w:r w:rsidR="00DB5B19">
        <w:t xml:space="preserve"> </w:t>
      </w:r>
      <w:r w:rsidR="0038769D">
        <w:t>(for commercial financings)</w:t>
      </w:r>
      <w:r>
        <w:t xml:space="preserve">, and meet the procurement policies of these </w:t>
      </w:r>
      <w:r w:rsidR="00BF143D">
        <w:t>institutions</w:t>
      </w:r>
      <w:r w:rsidR="0038769D">
        <w:t xml:space="preserve"> (for direct IFI financing)</w:t>
      </w:r>
      <w:r>
        <w:t xml:space="preserve">. </w:t>
      </w:r>
      <w:r w:rsidR="00BF143D">
        <w:t xml:space="preserve"> At the same time, </w:t>
      </w:r>
      <w:r w:rsidR="004C079B">
        <w:t xml:space="preserve">the </w:t>
      </w:r>
      <w:proofErr w:type="spellStart"/>
      <w:r w:rsidR="004C079B">
        <w:t>GoT</w:t>
      </w:r>
      <w:proofErr w:type="spellEnd"/>
      <w:r w:rsidR="004C079B">
        <w:t xml:space="preserve"> will also need to consider the best sequencing and packaging of works, as well as the best business model to optimize the terms of any commercial finance that is raised for the Project.</w:t>
      </w:r>
    </w:p>
    <w:p w14:paraId="741DE339" w14:textId="77777777" w:rsidR="008B459E" w:rsidRDefault="00930DBA" w:rsidP="008B459E">
      <w:pPr>
        <w:jc w:val="both"/>
        <w:rPr>
          <w:b/>
          <w:bCs/>
        </w:rPr>
      </w:pPr>
      <w:r>
        <w:rPr>
          <w:b/>
          <w:bCs/>
        </w:rPr>
        <w:t xml:space="preserve">It is expected that the Project could </w:t>
      </w:r>
      <w:r w:rsidR="009C5C79">
        <w:rPr>
          <w:b/>
          <w:bCs/>
        </w:rPr>
        <w:t xml:space="preserve">potentially </w:t>
      </w:r>
      <w:r>
        <w:rPr>
          <w:b/>
          <w:bCs/>
        </w:rPr>
        <w:t xml:space="preserve">be financed and procured through a combination of </w:t>
      </w:r>
      <w:r w:rsidR="000F780D">
        <w:rPr>
          <w:b/>
          <w:bCs/>
        </w:rPr>
        <w:t xml:space="preserve">public financing and procurement under IFI rules and the EPC+F model. </w:t>
      </w:r>
      <w:r w:rsidR="00DE73D4" w:rsidRPr="000F780D">
        <w:t xml:space="preserve">Recently, AYGM has developed </w:t>
      </w:r>
      <w:r w:rsidR="00962B67" w:rsidRPr="000F780D">
        <w:t>several railway projects</w:t>
      </w:r>
      <w:r w:rsidR="008B10F7">
        <w:t xml:space="preserve"> and mobilized commercial finance</w:t>
      </w:r>
      <w:r w:rsidR="00962B67" w:rsidRPr="000F780D">
        <w:t xml:space="preserve"> through the EPC+F business model</w:t>
      </w:r>
      <w:r w:rsidR="000F780D" w:rsidRPr="000F780D">
        <w:t xml:space="preserve">, including the Ankara-Izmir </w:t>
      </w:r>
      <w:r w:rsidR="00C174C2">
        <w:t>and Mersin-Gaziantep projects</w:t>
      </w:r>
      <w:r w:rsidR="00962B67" w:rsidRPr="000F780D">
        <w:t>.</w:t>
      </w:r>
      <w:r w:rsidR="00962B67">
        <w:rPr>
          <w:b/>
          <w:bCs/>
        </w:rPr>
        <w:t xml:space="preserve"> </w:t>
      </w:r>
      <w:r w:rsidR="00962B67" w:rsidRPr="00CF7F37">
        <w:t>The</w:t>
      </w:r>
      <w:r w:rsidR="00DE73D4" w:rsidRPr="00CF7F37">
        <w:t xml:space="preserve"> term EPC</w:t>
      </w:r>
      <w:r>
        <w:t>+</w:t>
      </w:r>
      <w:r w:rsidR="00DE73D4" w:rsidRPr="00CF7F37">
        <w:t xml:space="preserve">F refers to </w:t>
      </w:r>
      <w:r w:rsidR="00F95D69">
        <w:t>a contracting modality</w:t>
      </w:r>
      <w:r w:rsidR="00DE73D4" w:rsidRPr="00CF7F37">
        <w:t>, where the offer</w:t>
      </w:r>
      <w:r w:rsidR="00962B67" w:rsidRPr="00CF7F37">
        <w:t xml:space="preserve"> for the design and construction of the railway project</w:t>
      </w:r>
      <w:r w:rsidR="00DE73D4" w:rsidRPr="00CF7F37">
        <w:t xml:space="preserve"> </w:t>
      </w:r>
      <w:r w:rsidR="00CF7F37" w:rsidRPr="00CF7F37">
        <w:t xml:space="preserve">also includes </w:t>
      </w:r>
      <w:r w:rsidR="00DE73D4" w:rsidRPr="00CF7F37">
        <w:t xml:space="preserve">a financing package, which can </w:t>
      </w:r>
      <w:r w:rsidR="00CF7F37" w:rsidRPr="00CF7F37">
        <w:t>encompass</w:t>
      </w:r>
      <w:r w:rsidR="00DE73D4" w:rsidRPr="00CF7F37">
        <w:t xml:space="preserve"> development financiers, private financing and financing guaranteed by Export Credit Agencies (ECAs). In the financing package, the borrower </w:t>
      </w:r>
      <w:r w:rsidR="00CF7F37" w:rsidRPr="00CF7F37">
        <w:t xml:space="preserve">has been the Ministry of </w:t>
      </w:r>
      <w:r w:rsidR="00775769">
        <w:t xml:space="preserve">Treasury and </w:t>
      </w:r>
      <w:r w:rsidR="00CF7F37" w:rsidRPr="00CF7F37">
        <w:t xml:space="preserve">Finance. </w:t>
      </w:r>
      <w:r w:rsidR="000F780D">
        <w:t xml:space="preserve">In addition, AYGM has also resorted to IFI financing and procurement methods for other projects, including the </w:t>
      </w:r>
      <w:proofErr w:type="spellStart"/>
      <w:r w:rsidR="004E2A9D" w:rsidRPr="004E2A9D">
        <w:t>Divriği</w:t>
      </w:r>
      <w:proofErr w:type="spellEnd"/>
      <w:r w:rsidR="004E2A9D" w:rsidRPr="004E2A9D">
        <w:t>-Kars</w:t>
      </w:r>
      <w:r w:rsidR="004E2A9D">
        <w:t xml:space="preserve"> p</w:t>
      </w:r>
      <w:r w:rsidR="000F780D">
        <w:t>roject financed by the World Bank.</w:t>
      </w:r>
      <w:r w:rsidR="008B459E" w:rsidRPr="008B459E">
        <w:rPr>
          <w:b/>
          <w:bCs/>
        </w:rPr>
        <w:t xml:space="preserve"> </w:t>
      </w:r>
    </w:p>
    <w:p w14:paraId="4FCC26E8" w14:textId="393BCE6A" w:rsidR="008B459E" w:rsidRDefault="008B459E" w:rsidP="008B459E">
      <w:pPr>
        <w:jc w:val="both"/>
      </w:pPr>
      <w:r w:rsidRPr="00AB7355">
        <w:rPr>
          <w:b/>
          <w:bCs/>
        </w:rPr>
        <w:t>Given the Project’s</w:t>
      </w:r>
      <w:r>
        <w:rPr>
          <w:b/>
          <w:bCs/>
        </w:rPr>
        <w:t xml:space="preserve"> sizeable </w:t>
      </w:r>
      <w:r w:rsidRPr="00AB7355">
        <w:rPr>
          <w:b/>
          <w:bCs/>
        </w:rPr>
        <w:t xml:space="preserve">financing </w:t>
      </w:r>
      <w:r>
        <w:rPr>
          <w:b/>
          <w:bCs/>
        </w:rPr>
        <w:t xml:space="preserve">required </w:t>
      </w:r>
      <w:r w:rsidRPr="00AB7355">
        <w:rPr>
          <w:b/>
          <w:bCs/>
        </w:rPr>
        <w:t xml:space="preserve">and implementation complexity, a detailed assessment needs to </w:t>
      </w:r>
      <w:r>
        <w:rPr>
          <w:b/>
          <w:bCs/>
        </w:rPr>
        <w:t xml:space="preserve">be </w:t>
      </w:r>
      <w:r w:rsidRPr="00AB7355">
        <w:rPr>
          <w:b/>
          <w:bCs/>
        </w:rPr>
        <w:t xml:space="preserve">made on </w:t>
      </w:r>
      <w:r>
        <w:rPr>
          <w:b/>
          <w:bCs/>
        </w:rPr>
        <w:t>the procurement</w:t>
      </w:r>
      <w:r w:rsidRPr="00AB7355">
        <w:rPr>
          <w:b/>
          <w:bCs/>
        </w:rPr>
        <w:t xml:space="preserve"> </w:t>
      </w:r>
      <w:r>
        <w:rPr>
          <w:b/>
          <w:bCs/>
        </w:rPr>
        <w:t>capacity and strategy</w:t>
      </w:r>
      <w:r w:rsidRPr="00AB7355">
        <w:rPr>
          <w:b/>
          <w:bCs/>
        </w:rPr>
        <w:t xml:space="preserve"> to help ensure that the Project</w:t>
      </w:r>
      <w:r>
        <w:rPr>
          <w:b/>
          <w:bCs/>
        </w:rPr>
        <w:t xml:space="preserve"> is delivered </w:t>
      </w:r>
      <w:r w:rsidRPr="00AB7355">
        <w:rPr>
          <w:b/>
          <w:bCs/>
        </w:rPr>
        <w:t>in an optimal manner.</w:t>
      </w:r>
      <w:r w:rsidRPr="00950F08">
        <w:t xml:space="preserve"> This includes</w:t>
      </w:r>
      <w:r>
        <w:t xml:space="preserve"> evaluating a business model that can help in:</w:t>
      </w:r>
      <w:r w:rsidRPr="00950F08">
        <w:t xml:space="preserve"> (i) maximizing the competitive nature of any tender for the Project to ensure the lowest cost, (ii) attracting the required amount of financing require</w:t>
      </w:r>
      <w:r>
        <w:t>d</w:t>
      </w:r>
      <w:r w:rsidR="00FE7B4C">
        <w:t xml:space="preserve"> and optimizing the cost of said financing</w:t>
      </w:r>
      <w:r w:rsidRPr="00950F08">
        <w:t xml:space="preserve">, </w:t>
      </w:r>
      <w:r>
        <w:t xml:space="preserve">and </w:t>
      </w:r>
      <w:r w:rsidRPr="00950F08">
        <w:t xml:space="preserve">(iii) ensuring </w:t>
      </w:r>
      <w:r>
        <w:t>that the procurement provides value for money to AYGM</w:t>
      </w:r>
      <w:r w:rsidRPr="00950F08">
        <w:t>.</w:t>
      </w:r>
    </w:p>
    <w:p w14:paraId="2FC650BD" w14:textId="65FD799B" w:rsidR="00DE73D4" w:rsidRPr="000376F0" w:rsidRDefault="00DE73D4" w:rsidP="00E96C0A">
      <w:pPr>
        <w:jc w:val="both"/>
        <w:rPr>
          <w:b/>
          <w:bCs/>
        </w:rPr>
      </w:pPr>
    </w:p>
    <w:p w14:paraId="5E22AC24" w14:textId="4563C10F" w:rsidR="00BE63EC" w:rsidRDefault="00BE63EC" w:rsidP="00BE63EC">
      <w:pPr>
        <w:pStyle w:val="Balk1"/>
        <w:numPr>
          <w:ilvl w:val="0"/>
          <w:numId w:val="7"/>
        </w:numPr>
      </w:pPr>
      <w:bookmarkStart w:id="5" w:name="_Toc188986837"/>
      <w:r>
        <w:t>Objective</w:t>
      </w:r>
      <w:r w:rsidR="003F237E">
        <w:t xml:space="preserve"> of the Assignment</w:t>
      </w:r>
      <w:bookmarkEnd w:id="5"/>
    </w:p>
    <w:p w14:paraId="31D8E0BF" w14:textId="77777777" w:rsidR="0090212D" w:rsidRDefault="0090212D" w:rsidP="0090212D"/>
    <w:p w14:paraId="7585C5D7" w14:textId="15FD0505" w:rsidR="000C7D43" w:rsidRDefault="00AB7355" w:rsidP="000C7D43">
      <w:pPr>
        <w:jc w:val="both"/>
      </w:pPr>
      <w:r>
        <w:rPr>
          <w:b/>
          <w:bCs/>
        </w:rPr>
        <w:t>Considering the above</w:t>
      </w:r>
      <w:r w:rsidR="009F79C6">
        <w:rPr>
          <w:b/>
          <w:bCs/>
        </w:rPr>
        <w:t xml:space="preserve"> context</w:t>
      </w:r>
      <w:r>
        <w:rPr>
          <w:b/>
          <w:bCs/>
        </w:rPr>
        <w:t xml:space="preserve">, AYGM </w:t>
      </w:r>
      <w:r w:rsidR="0052106B" w:rsidRPr="00B341A4">
        <w:rPr>
          <w:b/>
          <w:bCs/>
        </w:rPr>
        <w:t xml:space="preserve">is seeking to hire specialized consulting firm (the “Consultant”) to </w:t>
      </w:r>
      <w:r w:rsidR="002D634F">
        <w:rPr>
          <w:b/>
          <w:bCs/>
        </w:rPr>
        <w:t>evaluate the most suitable business model for the delivery of the Project and to assist in</w:t>
      </w:r>
      <w:r w:rsidR="003609BE">
        <w:rPr>
          <w:b/>
          <w:bCs/>
        </w:rPr>
        <w:t xml:space="preserve"> the preparation of the </w:t>
      </w:r>
      <w:r w:rsidR="00FC4E81">
        <w:rPr>
          <w:b/>
          <w:bCs/>
        </w:rPr>
        <w:t>Project</w:t>
      </w:r>
      <w:r w:rsidR="00840019">
        <w:rPr>
          <w:b/>
          <w:bCs/>
        </w:rPr>
        <w:t>’s</w:t>
      </w:r>
      <w:r w:rsidR="00FC4E81">
        <w:rPr>
          <w:b/>
          <w:bCs/>
        </w:rPr>
        <w:t xml:space="preserve"> Procurement Strategy for Development (PPSD) and Procurement </w:t>
      </w:r>
      <w:r w:rsidR="00C57B32">
        <w:rPr>
          <w:b/>
          <w:bCs/>
        </w:rPr>
        <w:t xml:space="preserve">and Contract Management </w:t>
      </w:r>
      <w:r w:rsidR="00FC4E81">
        <w:rPr>
          <w:b/>
          <w:bCs/>
        </w:rPr>
        <w:t>Plan</w:t>
      </w:r>
      <w:r w:rsidR="00C57B32">
        <w:rPr>
          <w:b/>
          <w:bCs/>
        </w:rPr>
        <w:t>s</w:t>
      </w:r>
      <w:r w:rsidR="00840019">
        <w:rPr>
          <w:b/>
          <w:bCs/>
        </w:rPr>
        <w:t xml:space="preserve">. </w:t>
      </w:r>
      <w:r w:rsidR="00FE78E7" w:rsidRPr="008F5929">
        <w:t xml:space="preserve">The business model for the Project is understood as the combination of procurement </w:t>
      </w:r>
      <w:r w:rsidR="005C6388">
        <w:t>(</w:t>
      </w:r>
      <w:r w:rsidR="00FE78E7" w:rsidRPr="008F5929">
        <w:t xml:space="preserve">and </w:t>
      </w:r>
      <w:r w:rsidR="005C6388">
        <w:t xml:space="preserve">when included, </w:t>
      </w:r>
      <w:r w:rsidR="00FE78E7" w:rsidRPr="008F5929">
        <w:t>financing</w:t>
      </w:r>
      <w:r w:rsidR="005C6388">
        <w:t>)</w:t>
      </w:r>
      <w:r w:rsidR="00FE78E7" w:rsidRPr="008F5929">
        <w:t xml:space="preserve"> schemes that can be used to deliver the project in an optimal manner.</w:t>
      </w:r>
      <w:r w:rsidR="00FE78E7" w:rsidRPr="00D44A7E">
        <w:t xml:space="preserve"> </w:t>
      </w:r>
      <w:r w:rsidR="00FE78E7">
        <w:t xml:space="preserve"> </w:t>
      </w:r>
      <w:r w:rsidR="00A76150">
        <w:t xml:space="preserve">The business model </w:t>
      </w:r>
      <w:r w:rsidR="00784A43">
        <w:t xml:space="preserve">will define the </w:t>
      </w:r>
      <w:r w:rsidR="00A76150">
        <w:t xml:space="preserve">sequencing, packaging, allocation of financing and contracting modalities for the different contracts required to implement the Project. </w:t>
      </w:r>
      <w:r w:rsidR="00634906">
        <w:t xml:space="preserve"> </w:t>
      </w:r>
      <w:r w:rsidR="000C7D43">
        <w:t xml:space="preserve">In addition to providing recommendations to optimize the business model for the delivery of the project, this </w:t>
      </w:r>
      <w:r w:rsidR="00056BDE">
        <w:t>assignment</w:t>
      </w:r>
      <w:r w:rsidR="000C7D43">
        <w:t xml:space="preserve"> will also serve to prepare </w:t>
      </w:r>
      <w:r w:rsidR="000C7D43" w:rsidRPr="007616F8">
        <w:t>the Project’s Procurement Strategy for Development (PPSD) as defined in the World Bank’s Procurement Regulations for Investment Project Financing (IPF) Borrowers.</w:t>
      </w:r>
      <w:r w:rsidR="000C7D43">
        <w:t xml:space="preserve"> </w:t>
      </w:r>
    </w:p>
    <w:p w14:paraId="7EA53BB1" w14:textId="68DF3A0B" w:rsidR="0090212D" w:rsidRDefault="0052106B" w:rsidP="0052106B">
      <w:pPr>
        <w:spacing w:after="240"/>
        <w:jc w:val="both"/>
      </w:pPr>
      <w:r w:rsidRPr="00DE1192">
        <w:rPr>
          <w:b/>
          <w:bCs/>
        </w:rPr>
        <w:lastRenderedPageBreak/>
        <w:t>The Consultant will by hired by AYGM</w:t>
      </w:r>
      <w:r w:rsidR="002423E2">
        <w:rPr>
          <w:b/>
          <w:bCs/>
        </w:rPr>
        <w:t xml:space="preserve"> (the “Client”)</w:t>
      </w:r>
      <w:r w:rsidRPr="00DE1192">
        <w:rPr>
          <w:b/>
          <w:bCs/>
        </w:rPr>
        <w:t>, utilizing financing by the World Bank.</w:t>
      </w:r>
      <w:r>
        <w:t xml:space="preserve"> While the assignment will be managed by, and all deliverables thereof addressed to AYGM, the products of the consultancy will also be subject to comments by the World Bank in its fiduciary quality assurance capacity as financier of this assignment</w:t>
      </w:r>
      <w:r w:rsidR="00B24A88">
        <w:t xml:space="preserve"> and main prospective financier of the INRAIL Project</w:t>
      </w:r>
      <w:r>
        <w:t>.</w:t>
      </w:r>
      <w:r w:rsidR="00E303A9">
        <w:t xml:space="preserve"> The Consultant will</w:t>
      </w:r>
      <w:r w:rsidR="00E303A9" w:rsidRPr="00E303A9">
        <w:t xml:space="preserve"> also be required to hold discussions and coordinate with the World Bank team and other development partners that are considering the Project.</w:t>
      </w:r>
      <w:r w:rsidR="00014869">
        <w:t xml:space="preserve"> </w:t>
      </w:r>
    </w:p>
    <w:p w14:paraId="0FCC57FC" w14:textId="32224002" w:rsidR="00460ED9" w:rsidRPr="00921B87" w:rsidRDefault="00460ED9" w:rsidP="0052106B">
      <w:pPr>
        <w:spacing w:after="240"/>
        <w:jc w:val="both"/>
        <w:rPr>
          <w:b/>
          <w:bCs/>
        </w:rPr>
      </w:pPr>
      <w:r w:rsidRPr="00921B87">
        <w:rPr>
          <w:b/>
          <w:bCs/>
        </w:rPr>
        <w:t xml:space="preserve">AYGM has developed a basic feasibility study for the Project that will provide the general information on the Project characteristics and costs to the Consultant. </w:t>
      </w:r>
    </w:p>
    <w:p w14:paraId="022D5D3B" w14:textId="568F9A63" w:rsidR="00074773" w:rsidRPr="00BE63EC" w:rsidRDefault="00BE63EC" w:rsidP="00BE63EC">
      <w:pPr>
        <w:pStyle w:val="Balk1"/>
        <w:numPr>
          <w:ilvl w:val="0"/>
          <w:numId w:val="7"/>
        </w:numPr>
      </w:pPr>
      <w:bookmarkStart w:id="6" w:name="_Toc188986838"/>
      <w:r>
        <w:t>Scope of Work</w:t>
      </w:r>
      <w:bookmarkEnd w:id="6"/>
      <w:r>
        <w:t xml:space="preserve"> </w:t>
      </w:r>
    </w:p>
    <w:p w14:paraId="0381DFF8" w14:textId="77777777" w:rsidR="00BE63EC" w:rsidRDefault="00BE63EC" w:rsidP="00F2407C">
      <w:pPr>
        <w:jc w:val="both"/>
      </w:pPr>
    </w:p>
    <w:p w14:paraId="5730CE22" w14:textId="18C54C97" w:rsidR="004E5205" w:rsidRDefault="004E5205" w:rsidP="004E5205">
      <w:pPr>
        <w:jc w:val="both"/>
      </w:pPr>
      <w:r w:rsidRPr="00804B01">
        <w:rPr>
          <w:b/>
          <w:bCs/>
        </w:rPr>
        <w:t>This</w:t>
      </w:r>
      <w:r w:rsidR="001C30DE" w:rsidRPr="00804B01">
        <w:rPr>
          <w:b/>
          <w:bCs/>
        </w:rPr>
        <w:t xml:space="preserve"> scope of work should be considered essential to achieve the objectives mentioned above but is not all inclusive.</w:t>
      </w:r>
      <w:r w:rsidR="001C30DE" w:rsidRPr="001C30DE">
        <w:t xml:space="preserve"> The Consultant </w:t>
      </w:r>
      <w:r w:rsidR="001C30DE">
        <w:t>is expected to</w:t>
      </w:r>
      <w:r w:rsidR="001C30DE" w:rsidRPr="001C30DE">
        <w:t xml:space="preserve"> proactively identify all necessary areas of work within its scope of expertise, ensuring that the analytical output is thorough and complete such that the </w:t>
      </w:r>
      <w:r w:rsidR="001C30DE">
        <w:t>objectives</w:t>
      </w:r>
      <w:r w:rsidR="001C30DE" w:rsidRPr="001C30DE">
        <w:t xml:space="preserve"> are achieved. As the consultancy evolves, the Consultant must be able to </w:t>
      </w:r>
      <w:r w:rsidR="001C30DE">
        <w:t>identify</w:t>
      </w:r>
      <w:r w:rsidR="001C30DE" w:rsidRPr="001C30DE">
        <w:t xml:space="preserve"> needs for complementary analysis</w:t>
      </w:r>
      <w:r w:rsidR="001C30DE">
        <w:t>.</w:t>
      </w:r>
    </w:p>
    <w:p w14:paraId="777178B6" w14:textId="31EF03B2" w:rsidR="004E5205" w:rsidRDefault="004E5205" w:rsidP="004E5205">
      <w:pPr>
        <w:pStyle w:val="ListeParagraf"/>
        <w:ind w:left="0"/>
        <w:jc w:val="both"/>
      </w:pPr>
      <w:r w:rsidRPr="00804B01">
        <w:rPr>
          <w:b/>
          <w:bCs/>
        </w:rPr>
        <w:t xml:space="preserve">The Consultant will be expected to collect all data necessary to conduct the analyses under the assignment. </w:t>
      </w:r>
      <w:r>
        <w:t>AYGM will make every effort to provide the Consultant with available information on the procurement and financing of previous projects, as well as on the Project. The Consultant will be expected to back up assumptions with well-documented benchmarked data, parameters, and cost and financial information obtained from available sources.</w:t>
      </w:r>
    </w:p>
    <w:p w14:paraId="04E33625" w14:textId="77777777" w:rsidR="00DC0F08" w:rsidRDefault="00DC0F08" w:rsidP="004E5205">
      <w:pPr>
        <w:pStyle w:val="ListeParagraf"/>
        <w:ind w:left="0"/>
        <w:jc w:val="both"/>
      </w:pPr>
    </w:p>
    <w:p w14:paraId="4AC20004" w14:textId="2D4AEC82" w:rsidR="00DC0F08" w:rsidRPr="00804B01" w:rsidRDefault="00DC0F08" w:rsidP="004E5205">
      <w:pPr>
        <w:pStyle w:val="ListeParagraf"/>
        <w:ind w:left="0"/>
        <w:jc w:val="both"/>
        <w:rPr>
          <w:b/>
          <w:bCs/>
        </w:rPr>
      </w:pPr>
      <w:r w:rsidRPr="00804B01">
        <w:rPr>
          <w:b/>
          <w:bCs/>
        </w:rPr>
        <w:t>The Consultant shall implement its internal quality control and assurance procedures during the execution of the assignment and shall demonstrate that they are being applied to the work.</w:t>
      </w:r>
    </w:p>
    <w:p w14:paraId="44D84B45" w14:textId="60DE988F" w:rsidR="00F2407C" w:rsidRDefault="00BE63EC" w:rsidP="00F2407C">
      <w:pPr>
        <w:jc w:val="both"/>
      </w:pPr>
      <w:r>
        <w:t xml:space="preserve">The </w:t>
      </w:r>
      <w:r w:rsidR="00F2407C">
        <w:t>Consultant</w:t>
      </w:r>
      <w:r>
        <w:t xml:space="preserve"> will carry out the following tasks:</w:t>
      </w:r>
    </w:p>
    <w:p w14:paraId="4E06D072" w14:textId="77777777" w:rsidR="00DF7B11" w:rsidRDefault="00DF7B11" w:rsidP="00F2407C">
      <w:pPr>
        <w:jc w:val="both"/>
      </w:pPr>
    </w:p>
    <w:p w14:paraId="6FE4EDC6" w14:textId="62FC4834" w:rsidR="00DE5A77" w:rsidRDefault="00DE5A77" w:rsidP="00AD00C3">
      <w:pPr>
        <w:pStyle w:val="Balk2"/>
      </w:pPr>
      <w:bookmarkStart w:id="7" w:name="_Toc188986839"/>
      <w:r w:rsidRPr="00DE5A77">
        <w:t xml:space="preserve">Task 1: </w:t>
      </w:r>
      <w:r w:rsidR="00332881">
        <w:t xml:space="preserve"> </w:t>
      </w:r>
      <w:r w:rsidR="00DF7B11">
        <w:t>Strategic Assessment of Operating Context</w:t>
      </w:r>
      <w:bookmarkEnd w:id="7"/>
    </w:p>
    <w:p w14:paraId="6E4268B6" w14:textId="77777777" w:rsidR="003651B2" w:rsidRDefault="003651B2" w:rsidP="003651B2"/>
    <w:p w14:paraId="1D730CD8" w14:textId="67E6DAB9" w:rsidR="00101829" w:rsidRDefault="00101829" w:rsidP="003651B2">
      <w:r>
        <w:t>This task includes the following activities:</w:t>
      </w:r>
    </w:p>
    <w:p w14:paraId="4ECDF49A" w14:textId="096C9659" w:rsidR="00770E40" w:rsidRDefault="00770E40" w:rsidP="008F5929">
      <w:pPr>
        <w:pStyle w:val="Balk3"/>
      </w:pPr>
      <w:bookmarkStart w:id="8" w:name="_Toc188986840"/>
      <w:r>
        <w:t>Evaluation of Procurement Experience</w:t>
      </w:r>
      <w:bookmarkEnd w:id="8"/>
    </w:p>
    <w:p w14:paraId="2A21C863" w14:textId="0ED2CF25" w:rsidR="00201842" w:rsidRPr="003651B2" w:rsidRDefault="00201842" w:rsidP="003651B2">
      <w:r>
        <w:t>This task consists of the evaluation of the business models</w:t>
      </w:r>
      <w:r w:rsidR="009618BA">
        <w:t xml:space="preserve"> </w:t>
      </w:r>
      <w:r>
        <w:t>that have been</w:t>
      </w:r>
      <w:r w:rsidRPr="00201842">
        <w:t xml:space="preserve"> used for the </w:t>
      </w:r>
      <w:r w:rsidR="00B22446">
        <w:t xml:space="preserve">procurement and </w:t>
      </w:r>
      <w:r w:rsidRPr="00201842">
        <w:t>development of railway infrastructure projects in Türkiye</w:t>
      </w:r>
      <w:r>
        <w:t>. This includes the following activities:</w:t>
      </w:r>
    </w:p>
    <w:p w14:paraId="3D348A26" w14:textId="558B721D" w:rsidR="00C75ACA" w:rsidRPr="008F5929" w:rsidRDefault="00C75ACA" w:rsidP="00E658B7">
      <w:pPr>
        <w:pStyle w:val="ListeParagraf"/>
        <w:numPr>
          <w:ilvl w:val="0"/>
          <w:numId w:val="9"/>
        </w:numPr>
        <w:jc w:val="both"/>
        <w:rPr>
          <w:b/>
          <w:bCs/>
        </w:rPr>
      </w:pPr>
      <w:r w:rsidRPr="008F5929">
        <w:rPr>
          <w:b/>
          <w:bCs/>
        </w:rPr>
        <w:t>In General:</w:t>
      </w:r>
    </w:p>
    <w:p w14:paraId="2AA35295" w14:textId="0220BB33" w:rsidR="00C75ACA" w:rsidRDefault="00C75ACA" w:rsidP="00C75ACA">
      <w:pPr>
        <w:pStyle w:val="ListeParagraf"/>
        <w:numPr>
          <w:ilvl w:val="1"/>
          <w:numId w:val="9"/>
        </w:numPr>
        <w:jc w:val="both"/>
      </w:pPr>
      <w:r>
        <w:t xml:space="preserve">Describe and analyze the </w:t>
      </w:r>
      <w:r w:rsidR="00444A7D">
        <w:t>degree of development of local procurement practices in the sector.</w:t>
      </w:r>
    </w:p>
    <w:p w14:paraId="4B7D1724" w14:textId="48617A02" w:rsidR="00957D03" w:rsidRDefault="00957D03" w:rsidP="00957D03">
      <w:pPr>
        <w:pStyle w:val="ListeParagraf"/>
        <w:numPr>
          <w:ilvl w:val="1"/>
          <w:numId w:val="9"/>
        </w:numPr>
        <w:jc w:val="both"/>
      </w:pPr>
      <w:r>
        <w:t xml:space="preserve">Evaluate Client capacity needs to carry out the procurement for the Project </w:t>
      </w:r>
      <w:r w:rsidR="00C208EF">
        <w:t>considering</w:t>
      </w:r>
      <w:r>
        <w:t xml:space="preserve"> current work program for the Client.</w:t>
      </w:r>
    </w:p>
    <w:p w14:paraId="2B0E4E66" w14:textId="61A5A477" w:rsidR="00E658B7" w:rsidRDefault="00E658B7" w:rsidP="00C75ACA">
      <w:pPr>
        <w:pStyle w:val="ListeParagraf"/>
        <w:numPr>
          <w:ilvl w:val="1"/>
          <w:numId w:val="9"/>
        </w:numPr>
        <w:jc w:val="both"/>
      </w:pPr>
      <w:r>
        <w:lastRenderedPageBreak/>
        <w:t>Assess AYGM experience to date in the procurement and financing of railway infrastructure projects</w:t>
      </w:r>
      <w:r w:rsidR="00A97F09">
        <w:t>, including through traditional procurement methods, IFI procurement regulations, and EPC+F schemes</w:t>
      </w:r>
      <w:r>
        <w:t>.</w:t>
      </w:r>
    </w:p>
    <w:p w14:paraId="5EE27898" w14:textId="77777777" w:rsidR="00E658B7" w:rsidRDefault="00E658B7" w:rsidP="00C75ACA">
      <w:pPr>
        <w:pStyle w:val="ListeParagraf"/>
        <w:numPr>
          <w:ilvl w:val="1"/>
          <w:numId w:val="9"/>
        </w:numPr>
        <w:jc w:val="both"/>
      </w:pPr>
      <w:r>
        <w:t>Provide lessons learned from this previous experience that should be considered in the development of procurement and financing strategies for future projects.</w:t>
      </w:r>
    </w:p>
    <w:p w14:paraId="31393B62" w14:textId="74C4E714" w:rsidR="00E658B7" w:rsidRPr="00AD00C3" w:rsidRDefault="00E658B7" w:rsidP="00C75ACA">
      <w:pPr>
        <w:pStyle w:val="ListeParagraf"/>
        <w:numPr>
          <w:ilvl w:val="1"/>
          <w:numId w:val="9"/>
        </w:numPr>
        <w:jc w:val="both"/>
      </w:pPr>
      <w:r>
        <w:t xml:space="preserve">Describe current best practices </w:t>
      </w:r>
      <w:r w:rsidRPr="00B42A44">
        <w:t xml:space="preserve">for procuring from the </w:t>
      </w:r>
      <w:r w:rsidR="004F1201">
        <w:t xml:space="preserve">international and domestic </w:t>
      </w:r>
      <w:r w:rsidRPr="00B42A44">
        <w:t>market, including pricing methods, risk allocation, and benchmarks of performance and cost</w:t>
      </w:r>
      <w:r>
        <w:t>.</w:t>
      </w:r>
    </w:p>
    <w:p w14:paraId="42FDEF0C" w14:textId="00EEA6A3" w:rsidR="008E05CE" w:rsidRDefault="005E13D1" w:rsidP="00C75ACA">
      <w:pPr>
        <w:pStyle w:val="ListeParagraf"/>
        <w:numPr>
          <w:ilvl w:val="1"/>
          <w:numId w:val="9"/>
        </w:numPr>
        <w:jc w:val="both"/>
      </w:pPr>
      <w:r>
        <w:t xml:space="preserve">Describe </w:t>
      </w:r>
      <w:r w:rsidR="008E05CE">
        <w:t xml:space="preserve">and </w:t>
      </w:r>
      <w:r w:rsidR="00624EBD">
        <w:t xml:space="preserve">analyze </w:t>
      </w:r>
      <w:r w:rsidR="008E05CE">
        <w:t xml:space="preserve">recent procurements and financings for railway projects in Türkiye. </w:t>
      </w:r>
      <w:r w:rsidR="00624EBD">
        <w:t>This includes a review of all available procurement documentation</w:t>
      </w:r>
      <w:r w:rsidR="00907C15">
        <w:t xml:space="preserve"> and analysis of the process and outcomes.</w:t>
      </w:r>
    </w:p>
    <w:p w14:paraId="280F6BDE" w14:textId="605BD4F8" w:rsidR="00957D03" w:rsidRDefault="00957D03" w:rsidP="00957D03">
      <w:pPr>
        <w:pStyle w:val="ListeParagraf"/>
        <w:numPr>
          <w:ilvl w:val="1"/>
          <w:numId w:val="9"/>
        </w:numPr>
        <w:jc w:val="both"/>
      </w:pPr>
      <w:r>
        <w:t xml:space="preserve">Assess level of competition in previous procurements. </w:t>
      </w:r>
    </w:p>
    <w:p w14:paraId="0FD9E6D8" w14:textId="6BE708A5" w:rsidR="00E81ECF" w:rsidRDefault="00957D03" w:rsidP="00957D03">
      <w:pPr>
        <w:pStyle w:val="ListeParagraf"/>
        <w:numPr>
          <w:ilvl w:val="1"/>
          <w:numId w:val="9"/>
        </w:numPr>
        <w:jc w:val="both"/>
      </w:pPr>
      <w:r>
        <w:t>Investigate any signs of non-competitive practices, potential conflicts of interest, or collusion among bidders.</w:t>
      </w:r>
    </w:p>
    <w:p w14:paraId="2CD37044" w14:textId="77777777" w:rsidR="005273B8" w:rsidRDefault="005273B8" w:rsidP="008F5929">
      <w:pPr>
        <w:pStyle w:val="ListeParagraf"/>
        <w:jc w:val="both"/>
        <w:rPr>
          <w:b/>
          <w:bCs/>
        </w:rPr>
      </w:pPr>
    </w:p>
    <w:p w14:paraId="6D2396A4" w14:textId="2CA40EAB" w:rsidR="00E658B7" w:rsidRPr="008F5929" w:rsidRDefault="00E658B7" w:rsidP="00D64ECF">
      <w:pPr>
        <w:pStyle w:val="ListeParagraf"/>
        <w:numPr>
          <w:ilvl w:val="0"/>
          <w:numId w:val="9"/>
        </w:numPr>
        <w:jc w:val="both"/>
        <w:rPr>
          <w:b/>
          <w:bCs/>
        </w:rPr>
      </w:pPr>
      <w:r w:rsidRPr="008F5929">
        <w:rPr>
          <w:b/>
          <w:bCs/>
        </w:rPr>
        <w:t>For the EPC+F model:</w:t>
      </w:r>
    </w:p>
    <w:p w14:paraId="096162B6" w14:textId="77777777" w:rsidR="00E658B7" w:rsidRDefault="007115C1" w:rsidP="00E658B7">
      <w:pPr>
        <w:pStyle w:val="ListeParagraf"/>
        <w:numPr>
          <w:ilvl w:val="1"/>
          <w:numId w:val="9"/>
        </w:numPr>
        <w:jc w:val="both"/>
      </w:pPr>
      <w:r>
        <w:t>Describe</w:t>
      </w:r>
      <w:r w:rsidR="00C85692">
        <w:t xml:space="preserve"> the legal and regulatory framework applicable to the </w:t>
      </w:r>
      <w:r w:rsidR="00C365A2">
        <w:t xml:space="preserve">EPC+F </w:t>
      </w:r>
      <w:r w:rsidR="00C85692">
        <w:t xml:space="preserve">procurement and financing of railway infrastructure projects in Türkiye. </w:t>
      </w:r>
      <w:r w:rsidR="00966857">
        <w:t>This includes public procurement</w:t>
      </w:r>
      <w:r w:rsidR="00C365A2">
        <w:t xml:space="preserve"> and financing</w:t>
      </w:r>
      <w:r w:rsidR="00966857">
        <w:t xml:space="preserve"> laws and regulations governing previous procurements</w:t>
      </w:r>
      <w:r w:rsidR="005E3D0C">
        <w:t xml:space="preserve">, including those carried out under Law </w:t>
      </w:r>
      <w:r w:rsidR="00BF0050" w:rsidRPr="00BF0050">
        <w:t>No. 4734</w:t>
      </w:r>
      <w:r w:rsidR="00BF0050">
        <w:t>.</w:t>
      </w:r>
    </w:p>
    <w:p w14:paraId="0356D3A1" w14:textId="77777777" w:rsidR="00E658B7" w:rsidRDefault="00C365A2" w:rsidP="00E658B7">
      <w:pPr>
        <w:pStyle w:val="ListeParagraf"/>
        <w:numPr>
          <w:ilvl w:val="1"/>
          <w:numId w:val="9"/>
        </w:numPr>
        <w:jc w:val="both"/>
      </w:pPr>
      <w:r>
        <w:t xml:space="preserve">Provide a schematic explaining the procurement process under the EPC+F modality </w:t>
      </w:r>
      <w:r w:rsidR="00E658B7">
        <w:t>in detail.</w:t>
      </w:r>
    </w:p>
    <w:p w14:paraId="66CB6E85" w14:textId="34166A14" w:rsidR="007115C1" w:rsidRDefault="001C68C2" w:rsidP="00E658B7">
      <w:pPr>
        <w:pStyle w:val="ListeParagraf"/>
        <w:numPr>
          <w:ilvl w:val="1"/>
          <w:numId w:val="9"/>
        </w:numPr>
        <w:jc w:val="both"/>
      </w:pPr>
      <w:r>
        <w:t xml:space="preserve">Provide a general </w:t>
      </w:r>
      <w:r w:rsidR="00966857">
        <w:t xml:space="preserve">procurement </w:t>
      </w:r>
      <w:r>
        <w:t>evaluation of</w:t>
      </w:r>
      <w:r w:rsidR="007115C1">
        <w:t xml:space="preserve"> the above-mentioned</w:t>
      </w:r>
      <w:r w:rsidR="00BF0050">
        <w:t xml:space="preserve"> legal and regulatory</w:t>
      </w:r>
      <w:r w:rsidR="007115C1">
        <w:t xml:space="preserve"> framework</w:t>
      </w:r>
      <w:r w:rsidR="00966857">
        <w:t xml:space="preserve">, including consistency with </w:t>
      </w:r>
      <w:r w:rsidR="007115C1">
        <w:t xml:space="preserve">principles of </w:t>
      </w:r>
      <w:r w:rsidR="002F7D35">
        <w:t xml:space="preserve">open competition, </w:t>
      </w:r>
      <w:r w:rsidR="007115C1">
        <w:t xml:space="preserve">economy, efficiency, </w:t>
      </w:r>
      <w:r w:rsidR="002F7D35">
        <w:t xml:space="preserve">value for money, </w:t>
      </w:r>
      <w:r w:rsidR="007115C1">
        <w:t>and transparency</w:t>
      </w:r>
      <w:r w:rsidR="00DA188D">
        <w:t>,</w:t>
      </w:r>
      <w:r w:rsidR="00DA188D" w:rsidRPr="00DA188D">
        <w:t xml:space="preserve"> without regard to political or other non-economic influences or considerations</w:t>
      </w:r>
      <w:r w:rsidR="00DA188D">
        <w:t>,</w:t>
      </w:r>
      <w:r w:rsidR="002E5FD2">
        <w:t xml:space="preserve"> for financing and for delivery of works</w:t>
      </w:r>
      <w:r w:rsidR="007115C1">
        <w:t>.</w:t>
      </w:r>
    </w:p>
    <w:p w14:paraId="47FF8DB3" w14:textId="0CCFBF37" w:rsidR="00DA188D" w:rsidRDefault="00DA188D" w:rsidP="00D748AF">
      <w:pPr>
        <w:pStyle w:val="ListeParagraf"/>
        <w:numPr>
          <w:ilvl w:val="1"/>
          <w:numId w:val="9"/>
        </w:numPr>
      </w:pPr>
      <w:r w:rsidRPr="00DA188D">
        <w:t>Provide a list of investors, financiers guarantors, and contractors involved in previous EPC+F procurements.</w:t>
      </w:r>
    </w:p>
    <w:p w14:paraId="24D4572B" w14:textId="67B71EF7" w:rsidR="00DA188D" w:rsidRDefault="00DA188D" w:rsidP="00E658B7">
      <w:pPr>
        <w:pStyle w:val="ListeParagraf"/>
        <w:numPr>
          <w:ilvl w:val="1"/>
          <w:numId w:val="9"/>
        </w:numPr>
        <w:jc w:val="both"/>
      </w:pPr>
      <w:r>
        <w:t>Assess precedent projects procured under and EPC+F model and provide lessons learned as it relates to financing and implementation.</w:t>
      </w:r>
    </w:p>
    <w:p w14:paraId="6156873D" w14:textId="77777777" w:rsidR="00B70499" w:rsidRDefault="00B70499" w:rsidP="00770E40">
      <w:pPr>
        <w:pStyle w:val="Balk3"/>
      </w:pPr>
      <w:bookmarkStart w:id="9" w:name="_Toc188986841"/>
      <w:r>
        <w:t>Evaluation of Procurement Capacity</w:t>
      </w:r>
      <w:bookmarkEnd w:id="9"/>
    </w:p>
    <w:p w14:paraId="4ECC70AB" w14:textId="798260AB" w:rsidR="00BE4344" w:rsidRDefault="00BE4344" w:rsidP="008F5929">
      <w:pPr>
        <w:jc w:val="both"/>
      </w:pPr>
      <w:r w:rsidRPr="00877A15">
        <w:t xml:space="preserve">The Consultant will evaluate the procurement capacity of the Project Implementation Unit (PIU) at AYGM </w:t>
      </w:r>
      <w:r w:rsidRPr="00BE4344">
        <w:t>considering</w:t>
      </w:r>
      <w:r w:rsidRPr="00877A15">
        <w:t xml:space="preserve"> ongoing and planned </w:t>
      </w:r>
      <w:proofErr w:type="gramStart"/>
      <w:r w:rsidRPr="00877A15">
        <w:t>contracts and evaluate capacity needs</w:t>
      </w:r>
      <w:r w:rsidR="00E6765B" w:rsidRPr="00E6765B">
        <w:t xml:space="preserve"> </w:t>
      </w:r>
      <w:r w:rsidR="00E6765B" w:rsidRPr="00E6765B">
        <w:t>via regular meetings</w:t>
      </w:r>
      <w:proofErr w:type="gramEnd"/>
      <w:r w:rsidRPr="00877A15">
        <w:t xml:space="preserve"> and provide related recommendations.</w:t>
      </w:r>
    </w:p>
    <w:p w14:paraId="2458971B" w14:textId="77777777" w:rsidR="00BE4344" w:rsidRPr="00BE4344" w:rsidRDefault="00BE4344" w:rsidP="008F5929"/>
    <w:p w14:paraId="52D1CCA1" w14:textId="17AD910A" w:rsidR="00770E40" w:rsidRDefault="00770E40" w:rsidP="00770E40">
      <w:pPr>
        <w:pStyle w:val="Balk3"/>
      </w:pPr>
      <w:bookmarkStart w:id="10" w:name="_Toc188986842"/>
      <w:r>
        <w:t>Definition of Project Requirements and Procurement Objectives</w:t>
      </w:r>
      <w:bookmarkEnd w:id="10"/>
    </w:p>
    <w:p w14:paraId="55A418B9" w14:textId="77777777" w:rsidR="00770E40" w:rsidRDefault="00770E40" w:rsidP="00770E40">
      <w:pPr>
        <w:jc w:val="both"/>
      </w:pPr>
      <w:r>
        <w:t>The Consultant will prepare a final definition of Project requirements based on latest technical information provided by AYGM. This should reflect the technical and timeline requirements based on AYGM objectives.</w:t>
      </w:r>
    </w:p>
    <w:p w14:paraId="1355620D" w14:textId="77777777" w:rsidR="00770E40" w:rsidRPr="00B42A44" w:rsidRDefault="00770E40" w:rsidP="00770E40">
      <w:pPr>
        <w:jc w:val="both"/>
      </w:pPr>
      <w:r w:rsidRPr="00257474">
        <w:t>Based on the updated Project concept / requirements, the Consultant will also define a financing needs assessment. The Consultant will obtain the latest Project Capex, Opex, and any other relevant assumption for the definition of the Project from the Client. The Client will provide any other information that is relevant for the definition of the Project and sizing of the financing required.</w:t>
      </w:r>
    </w:p>
    <w:p w14:paraId="4D7E7EEE" w14:textId="77777777" w:rsidR="00770E40" w:rsidRDefault="00770E40" w:rsidP="001834A2">
      <w:pPr>
        <w:jc w:val="both"/>
        <w:rPr>
          <w:b/>
          <w:bCs/>
        </w:rPr>
      </w:pPr>
    </w:p>
    <w:p w14:paraId="34EAFD38" w14:textId="2021D895" w:rsidR="001834A2" w:rsidRDefault="0070705C" w:rsidP="008F5929">
      <w:pPr>
        <w:pStyle w:val="Balk4"/>
      </w:pPr>
      <w:r>
        <w:t>Outputs</w:t>
      </w:r>
      <w:r w:rsidR="001834A2" w:rsidRPr="001834A2">
        <w:t>:</w:t>
      </w:r>
      <w:r w:rsidR="001834A2">
        <w:t xml:space="preserve"> </w:t>
      </w:r>
    </w:p>
    <w:p w14:paraId="2D2C1938" w14:textId="336D1F83" w:rsidR="00444A7D" w:rsidRPr="00444A7D" w:rsidRDefault="001834A2" w:rsidP="00444A7D">
      <w:pPr>
        <w:pStyle w:val="ListeParagraf"/>
        <w:numPr>
          <w:ilvl w:val="0"/>
          <w:numId w:val="16"/>
        </w:numPr>
        <w:jc w:val="both"/>
      </w:pPr>
      <w:r>
        <w:t xml:space="preserve">Client </w:t>
      </w:r>
      <w:r w:rsidR="00444A7D" w:rsidRPr="00444A7D">
        <w:t>Presentation</w:t>
      </w:r>
    </w:p>
    <w:p w14:paraId="14F2AFF9" w14:textId="55008EFE" w:rsidR="001C7B0E" w:rsidRPr="008F5929" w:rsidRDefault="00DF7B11" w:rsidP="00444A7D">
      <w:pPr>
        <w:pStyle w:val="ListeParagraf"/>
        <w:numPr>
          <w:ilvl w:val="0"/>
          <w:numId w:val="16"/>
        </w:numPr>
        <w:jc w:val="both"/>
        <w:rPr>
          <w:b/>
          <w:bCs/>
        </w:rPr>
      </w:pPr>
      <w:r>
        <w:t>Strategic Assessment</w:t>
      </w:r>
      <w:r w:rsidR="009C7058" w:rsidRPr="009C7058">
        <w:t xml:space="preserve"> Report</w:t>
      </w:r>
    </w:p>
    <w:p w14:paraId="4A078FAF" w14:textId="77777777" w:rsidR="00157B36" w:rsidRPr="008F5929" w:rsidRDefault="00157B36" w:rsidP="008F5929">
      <w:pPr>
        <w:jc w:val="both"/>
        <w:rPr>
          <w:b/>
          <w:bCs/>
        </w:rPr>
      </w:pPr>
    </w:p>
    <w:p w14:paraId="1ED35FDF" w14:textId="27857CB0" w:rsidR="00F2407C" w:rsidRDefault="00DE5A77" w:rsidP="00AD00C3">
      <w:pPr>
        <w:pStyle w:val="Balk2"/>
      </w:pPr>
      <w:bookmarkStart w:id="11" w:name="_Toc188986843"/>
      <w:r w:rsidRPr="00DE5A77">
        <w:t>Task</w:t>
      </w:r>
      <w:r w:rsidR="00C826DB" w:rsidRPr="00DE5A77">
        <w:t xml:space="preserve"> </w:t>
      </w:r>
      <w:r w:rsidR="00AD00C3">
        <w:t>2</w:t>
      </w:r>
      <w:r w:rsidR="00C826DB" w:rsidRPr="00DE5A77">
        <w:t xml:space="preserve">: </w:t>
      </w:r>
      <w:r w:rsidR="00770E40">
        <w:t xml:space="preserve">Market and Risk </w:t>
      </w:r>
      <w:r w:rsidR="005E720C">
        <w:t>Analysis</w:t>
      </w:r>
      <w:r w:rsidR="00770E40">
        <w:t xml:space="preserve"> and Evaluation of Alternatives</w:t>
      </w:r>
      <w:bookmarkEnd w:id="11"/>
    </w:p>
    <w:p w14:paraId="2F65A380" w14:textId="77777777" w:rsidR="00FB5304" w:rsidRDefault="00FB5304" w:rsidP="00FB5304"/>
    <w:p w14:paraId="5438DFA7" w14:textId="490EC0F3" w:rsidR="007616F8" w:rsidRDefault="007616F8" w:rsidP="00FB5304">
      <w:r>
        <w:t>This task includes the following activities:</w:t>
      </w:r>
    </w:p>
    <w:p w14:paraId="388C3A40" w14:textId="052F8B17" w:rsidR="00FB5304" w:rsidRDefault="00FB5304" w:rsidP="00FB5304">
      <w:pPr>
        <w:pStyle w:val="Balk3"/>
      </w:pPr>
      <w:bookmarkStart w:id="12" w:name="_Toc188986844"/>
      <w:r>
        <w:t xml:space="preserve">Market </w:t>
      </w:r>
      <w:r w:rsidR="00E92EDA">
        <w:t>Sounding</w:t>
      </w:r>
      <w:r w:rsidR="00775AD7">
        <w:t xml:space="preserve"> and Engagement</w:t>
      </w:r>
      <w:bookmarkEnd w:id="12"/>
      <w:r w:rsidR="00775AD7">
        <w:t xml:space="preserve"> </w:t>
      </w:r>
    </w:p>
    <w:p w14:paraId="6C466990" w14:textId="3C998475" w:rsidR="008461E2" w:rsidRDefault="00811C39" w:rsidP="008461E2">
      <w:pPr>
        <w:jc w:val="both"/>
      </w:pPr>
      <w:r>
        <w:t>The Consultant will carry out a</w:t>
      </w:r>
      <w:r w:rsidR="008461E2" w:rsidRPr="008461E2">
        <w:t xml:space="preserve"> market assessment of the engineering, construction and </w:t>
      </w:r>
      <w:r w:rsidR="001931CF">
        <w:t xml:space="preserve">equipment </w:t>
      </w:r>
      <w:r w:rsidR="008461E2" w:rsidRPr="008461E2">
        <w:t>industries relevant to the Project.</w:t>
      </w:r>
      <w:r w:rsidR="008461E2">
        <w:t xml:space="preserve"> E</w:t>
      </w:r>
      <w:r w:rsidR="008461E2" w:rsidRPr="00E92EDA">
        <w:t xml:space="preserve">valuating the expectations and capacity of the private infrastructure engineering, </w:t>
      </w:r>
      <w:r w:rsidR="008461E2">
        <w:t>procurement and construction</w:t>
      </w:r>
      <w:r w:rsidR="008461E2" w:rsidRPr="00E92EDA">
        <w:t xml:space="preserve"> </w:t>
      </w:r>
      <w:r w:rsidR="008461E2">
        <w:t>firms</w:t>
      </w:r>
      <w:r w:rsidR="008461E2" w:rsidRPr="00E92EDA">
        <w:t xml:space="preserve"> and of potential financiers is fundamental for assessing the potential level of competition and resulting value for the government from procuring and financing a project.</w:t>
      </w:r>
      <w:r w:rsidR="008461E2">
        <w:t xml:space="preserve"> </w:t>
      </w:r>
    </w:p>
    <w:p w14:paraId="4A55DAF3" w14:textId="0CC71BA5" w:rsidR="00B42A44" w:rsidRDefault="00B42A44" w:rsidP="00B42A44">
      <w:r>
        <w:t>This</w:t>
      </w:r>
      <w:r w:rsidR="00E92EDA">
        <w:t xml:space="preserve"> </w:t>
      </w:r>
      <w:r w:rsidR="00BB05C7">
        <w:t>sub-</w:t>
      </w:r>
      <w:r w:rsidR="00E92EDA">
        <w:t>task</w:t>
      </w:r>
      <w:r>
        <w:t xml:space="preserve"> includes a description and evaluation of the market for </w:t>
      </w:r>
      <w:r w:rsidR="00F51336">
        <w:t>engineering, construction, equipment and financing</w:t>
      </w:r>
      <w:r w:rsidR="00F92A74">
        <w:t xml:space="preserve"> that is relevant for the development of the Project</w:t>
      </w:r>
      <w:r>
        <w:t>:</w:t>
      </w:r>
    </w:p>
    <w:p w14:paraId="4FD82A2B" w14:textId="4D7C4B1A" w:rsidR="00B42A44" w:rsidRDefault="001B0A79" w:rsidP="00B42A44">
      <w:pPr>
        <w:pStyle w:val="ListeParagraf"/>
        <w:numPr>
          <w:ilvl w:val="0"/>
          <w:numId w:val="9"/>
        </w:numPr>
      </w:pPr>
      <w:r>
        <w:t xml:space="preserve">International and </w:t>
      </w:r>
      <w:r w:rsidR="0055636C">
        <w:t>d</w:t>
      </w:r>
      <w:r>
        <w:t>omestic m</w:t>
      </w:r>
      <w:r w:rsidR="00FB5304">
        <w:t xml:space="preserve">arket capability to meet the </w:t>
      </w:r>
      <w:r w:rsidR="00BB05C7">
        <w:t xml:space="preserve">AYGM’s </w:t>
      </w:r>
      <w:r w:rsidR="00FB5304">
        <w:t>needs, including typical experience levels, package</w:t>
      </w:r>
      <w:r w:rsidR="00B42A44">
        <w:t xml:space="preserve"> </w:t>
      </w:r>
      <w:r w:rsidR="00FB5304">
        <w:t>sizes, and financial performance</w:t>
      </w:r>
      <w:r w:rsidR="00B42A44">
        <w:t>.</w:t>
      </w:r>
    </w:p>
    <w:p w14:paraId="1347EDDB" w14:textId="686E409D" w:rsidR="00B42A44" w:rsidRDefault="00FB5304" w:rsidP="00B42A44">
      <w:pPr>
        <w:pStyle w:val="ListeParagraf"/>
        <w:numPr>
          <w:ilvl w:val="0"/>
          <w:numId w:val="9"/>
        </w:numPr>
      </w:pPr>
      <w:r>
        <w:t xml:space="preserve">Previous experience in the market of the </w:t>
      </w:r>
      <w:r w:rsidR="00BB05C7">
        <w:t xml:space="preserve">AYGM </w:t>
      </w:r>
      <w:r>
        <w:t>and other customers, including World</w:t>
      </w:r>
      <w:r w:rsidR="00B42A44">
        <w:t xml:space="preserve"> </w:t>
      </w:r>
      <w:r>
        <w:t>Bank Projects and non–World Bank projects</w:t>
      </w:r>
      <w:r w:rsidR="0057038E">
        <w:t>.</w:t>
      </w:r>
    </w:p>
    <w:p w14:paraId="3FC753AB" w14:textId="707C2CB4" w:rsidR="0057038E" w:rsidRDefault="0095747F" w:rsidP="00B42A44">
      <w:pPr>
        <w:pStyle w:val="ListeParagraf"/>
        <w:numPr>
          <w:ilvl w:val="0"/>
          <w:numId w:val="9"/>
        </w:numPr>
      </w:pPr>
      <w:r>
        <w:t>Level and n</w:t>
      </w:r>
      <w:r w:rsidR="0057038E">
        <w:t>ature of competition in the market</w:t>
      </w:r>
      <w:r w:rsidR="007E14A3">
        <w:t xml:space="preserve"> and what is needed to ensure </w:t>
      </w:r>
      <w:r>
        <w:t>adequate levels of participation</w:t>
      </w:r>
      <w:r w:rsidR="00A03731">
        <w:t>, including for developing appropriate qualification criteria and technical rated criteria in the bidding documents</w:t>
      </w:r>
      <w:r>
        <w:t xml:space="preserve">. </w:t>
      </w:r>
    </w:p>
    <w:p w14:paraId="32BBE165" w14:textId="68B1AA03" w:rsidR="00FB5304" w:rsidRDefault="00B42A44" w:rsidP="00B42A44">
      <w:pPr>
        <w:pStyle w:val="ListeParagraf"/>
        <w:numPr>
          <w:ilvl w:val="0"/>
          <w:numId w:val="9"/>
        </w:numPr>
      </w:pPr>
      <w:r>
        <w:t>M</w:t>
      </w:r>
      <w:r w:rsidR="00FB5304">
        <w:t xml:space="preserve">arket’s view of the </w:t>
      </w:r>
      <w:r w:rsidR="00BB05C7">
        <w:t xml:space="preserve">AYGM </w:t>
      </w:r>
      <w:r w:rsidR="00FB5304">
        <w:t xml:space="preserve">as an attractive customer. </w:t>
      </w:r>
    </w:p>
    <w:p w14:paraId="4C5E93D1" w14:textId="7BD125E4" w:rsidR="004F03E0" w:rsidRDefault="004F03E0" w:rsidP="00B42A44">
      <w:pPr>
        <w:pStyle w:val="ListeParagraf"/>
        <w:numPr>
          <w:ilvl w:val="0"/>
          <w:numId w:val="9"/>
        </w:numPr>
      </w:pPr>
      <w:r>
        <w:t>Procurement trend</w:t>
      </w:r>
      <w:r w:rsidR="001528A0">
        <w:t>s.</w:t>
      </w:r>
    </w:p>
    <w:p w14:paraId="161AC81D" w14:textId="46A6057D" w:rsidR="00E71B60" w:rsidRPr="00257474" w:rsidRDefault="00144749" w:rsidP="00D748AF">
      <w:pPr>
        <w:rPr>
          <w:b/>
          <w:bCs/>
          <w:i/>
          <w:iCs/>
        </w:rPr>
      </w:pPr>
      <w:r w:rsidRPr="00144749">
        <w:t xml:space="preserve">This also includes sharing the preliminary bidder qualification criteria for each procurement package with prospective </w:t>
      </w:r>
      <w:r>
        <w:t>national</w:t>
      </w:r>
      <w:r w:rsidRPr="00144749">
        <w:t xml:space="preserve"> and global contractors and </w:t>
      </w:r>
      <w:r w:rsidR="003A1AF4" w:rsidRPr="00144749">
        <w:t>suppliers and</w:t>
      </w:r>
      <w:r w:rsidRPr="00144749">
        <w:t xml:space="preserve"> soliciting their feedback. To achieve this, the Consultant will conduct a survey and subsequently organize a workshop in collaboration with AYGM. The workshop will gather additional feedback from national and international prospective suppliers and contractors through face-to-face discussions, with an option for online participation for those unable to attend in person.</w:t>
      </w:r>
      <w:r>
        <w:t xml:space="preserve"> </w:t>
      </w:r>
      <w:r w:rsidR="00F03D6A">
        <w:t>Based on the above, the Consultant will recommend the best approach to interact and maximize influence with the supply market and attract suppliers</w:t>
      </w:r>
      <w:r w:rsidR="004F03E0">
        <w:t>.</w:t>
      </w:r>
    </w:p>
    <w:p w14:paraId="1AF74F7C" w14:textId="2F3A58A2" w:rsidR="00D64ECF" w:rsidRDefault="00D64ECF" w:rsidP="00D64ECF">
      <w:pPr>
        <w:pStyle w:val="Balk3"/>
      </w:pPr>
      <w:bookmarkStart w:id="13" w:name="_Toc188986845"/>
      <w:r>
        <w:t>Risk Identification</w:t>
      </w:r>
      <w:bookmarkEnd w:id="13"/>
    </w:p>
    <w:p w14:paraId="35BAF7A3" w14:textId="6A2D6892" w:rsidR="0076480E" w:rsidRDefault="0055636C" w:rsidP="00F779F5">
      <w:pPr>
        <w:jc w:val="both"/>
      </w:pPr>
      <w:r>
        <w:t>The Consultant will i</w:t>
      </w:r>
      <w:r w:rsidR="001A14B0">
        <w:t>dentify the potential procurement risks given Project characteristics and evaluate mitigants for these risks.</w:t>
      </w:r>
      <w:r w:rsidR="00BA0D7A">
        <w:t xml:space="preserve"> This exercise should determine the risks in critical areas </w:t>
      </w:r>
      <w:r w:rsidR="00A21465">
        <w:t xml:space="preserve">for the success of Project procurement, </w:t>
      </w:r>
      <w:r w:rsidR="006B055E">
        <w:t>including</w:t>
      </w:r>
      <w:r w:rsidR="00A21465">
        <w:t xml:space="preserve"> market complexity and competitiveness; </w:t>
      </w:r>
      <w:r w:rsidR="0076480E">
        <w:t>d</w:t>
      </w:r>
      <w:r w:rsidR="00A21465">
        <w:t xml:space="preserve">elivery and supply security; </w:t>
      </w:r>
      <w:r w:rsidR="0076480E">
        <w:t>s</w:t>
      </w:r>
      <w:r w:rsidR="00A21465">
        <w:t xml:space="preserve">uppliers and supplier relationships; procurement agency experience, capacity, and capability; </w:t>
      </w:r>
      <w:r w:rsidR="0076480E">
        <w:t>c</w:t>
      </w:r>
      <w:r w:rsidR="00A21465">
        <w:t>ost trends</w:t>
      </w:r>
      <w:r w:rsidR="0076480E">
        <w:t>; technical innovation and change; and sustainability. The analysis should also qualify the risks according to likelihood and impact.</w:t>
      </w:r>
      <w:r w:rsidR="00BB05C7">
        <w:t xml:space="preserve"> </w:t>
      </w:r>
      <w:r w:rsidR="0076480E">
        <w:t>Based on the above evaluation, propose actions/features to address the risks identified</w:t>
      </w:r>
      <w:r w:rsidR="00F779F5">
        <w:t>.</w:t>
      </w:r>
    </w:p>
    <w:p w14:paraId="40581FE0" w14:textId="2F80264F" w:rsidR="007A0A58" w:rsidRDefault="00D75086" w:rsidP="00F779F5">
      <w:pPr>
        <w:pStyle w:val="Balk3"/>
        <w:jc w:val="both"/>
      </w:pPr>
      <w:bookmarkStart w:id="14" w:name="_Toc188986846"/>
      <w:r>
        <w:lastRenderedPageBreak/>
        <w:t xml:space="preserve">Evaluation of </w:t>
      </w:r>
      <w:r w:rsidR="00777EBE">
        <w:t>Alternatives</w:t>
      </w:r>
      <w:bookmarkEnd w:id="14"/>
    </w:p>
    <w:p w14:paraId="03CA32AA" w14:textId="1D4F5AC3" w:rsidR="007A2A4D" w:rsidRDefault="009E085B" w:rsidP="00B44175">
      <w:pPr>
        <w:jc w:val="both"/>
      </w:pPr>
      <w:r>
        <w:t xml:space="preserve">Based on the above analysis, the Consultant will </w:t>
      </w:r>
      <w:r w:rsidR="007538FD">
        <w:t xml:space="preserve">identify and </w:t>
      </w:r>
      <w:r w:rsidR="007A2A4D">
        <w:t xml:space="preserve">evaluate the options and </w:t>
      </w:r>
      <w:r w:rsidR="00205291">
        <w:t xml:space="preserve">recommend </w:t>
      </w:r>
      <w:r w:rsidR="007A2A4D">
        <w:t>the most suitable</w:t>
      </w:r>
      <w:r w:rsidR="00205291">
        <w:t xml:space="preserve"> procurement </w:t>
      </w:r>
      <w:r w:rsidR="00E80EA8">
        <w:t>strategy for the Projec</w:t>
      </w:r>
      <w:r w:rsidR="00C13A7D">
        <w:t>t</w:t>
      </w:r>
      <w:r w:rsidR="00205291">
        <w:t>.</w:t>
      </w:r>
      <w:r w:rsidR="007A2A4D">
        <w:t xml:space="preserve"> </w:t>
      </w:r>
      <w:r w:rsidR="007A2A4D" w:rsidRPr="0066149F">
        <w:t xml:space="preserve">The Consultant will explain the trade-offs involved in the selection of the </w:t>
      </w:r>
      <w:r w:rsidR="007A2A4D">
        <w:t>p</w:t>
      </w:r>
      <w:r w:rsidR="007A2A4D" w:rsidRPr="0066149F">
        <w:t>referred Option(s) and if deemed appropriate, propose different alternatives, involving different combinations of the models identified.</w:t>
      </w:r>
    </w:p>
    <w:p w14:paraId="608A4708" w14:textId="41D888D2" w:rsidR="001A0072" w:rsidRDefault="00BA471D" w:rsidP="001A0072">
      <w:pPr>
        <w:jc w:val="both"/>
      </w:pPr>
      <w:r>
        <w:t>Options</w:t>
      </w:r>
      <w:r w:rsidR="001A0072">
        <w:t xml:space="preserve"> will be evaluated against a set of objectives that need to be discussed and agreed upon with the Client, and include the following parameters: cost and availability</w:t>
      </w:r>
      <w:r w:rsidR="00470900">
        <w:t xml:space="preserve"> of funding</w:t>
      </w:r>
      <w:r w:rsidR="001A0072">
        <w:t>; terms and conditions; risk allocation and transfer (Value for Money); transaction costs; fiscal capacity; Incentives to ensure quality of service delivery; ease of implementation and feasibility of execution under Project execution schedule; market appetite based on the results of the market sounding; institutional capacity to carry out the procurement process and to adequately manage the contract.</w:t>
      </w:r>
      <w:r w:rsidR="001A0072" w:rsidRPr="00945BBB">
        <w:t xml:space="preserve"> </w:t>
      </w:r>
    </w:p>
    <w:p w14:paraId="54E2F3A7" w14:textId="7B357C96" w:rsidR="00B44175" w:rsidRPr="00E607DC" w:rsidRDefault="001A0072" w:rsidP="00B44175">
      <w:pPr>
        <w:jc w:val="both"/>
      </w:pPr>
      <w:r w:rsidRPr="0066149F">
        <w:t xml:space="preserve">In addition, the preferred model will have to be compatible with the current regulatory regime </w:t>
      </w:r>
      <w:r>
        <w:t xml:space="preserve">and </w:t>
      </w:r>
      <w:r w:rsidRPr="0066149F">
        <w:t>institutional realities</w:t>
      </w:r>
      <w:r>
        <w:t xml:space="preserve">. Any necessary modifications to previous implementation practices to accommodate the suggested business model will need to </w:t>
      </w:r>
      <w:r w:rsidR="00444B1C">
        <w:t xml:space="preserve">be </w:t>
      </w:r>
      <w:r>
        <w:t xml:space="preserve">highlighted. </w:t>
      </w:r>
      <w:r w:rsidRPr="00434BF0">
        <w:t xml:space="preserve">The supporting evidence or justification for each approach should be drawn from the </w:t>
      </w:r>
      <w:r>
        <w:t xml:space="preserve">conclusions of previous tasks, including the construction and financing market sounding. </w:t>
      </w:r>
    </w:p>
    <w:p w14:paraId="7E84C595" w14:textId="40A2B18B" w:rsidR="00F14C47" w:rsidRDefault="00F14C47" w:rsidP="008F5929">
      <w:pPr>
        <w:pStyle w:val="Balk3"/>
        <w:jc w:val="both"/>
      </w:pPr>
      <w:bookmarkStart w:id="15" w:name="_Toc188986847"/>
      <w:r>
        <w:t xml:space="preserve">Client and Stakeholder </w:t>
      </w:r>
      <w:r w:rsidR="00CB48A6">
        <w:t>P</w:t>
      </w:r>
      <w:r>
        <w:t>resentation</w:t>
      </w:r>
      <w:bookmarkEnd w:id="15"/>
    </w:p>
    <w:p w14:paraId="40180A5F" w14:textId="74112636" w:rsidR="00A633F2" w:rsidRDefault="001963E1" w:rsidP="001963E1">
      <w:pPr>
        <w:jc w:val="both"/>
      </w:pPr>
      <w:r>
        <w:t>T</w:t>
      </w:r>
      <w:r w:rsidR="00F14C47">
        <w:t>his task will include a</w:t>
      </w:r>
      <w:r w:rsidR="00F14C47" w:rsidRPr="006D2244">
        <w:t xml:space="preserve"> </w:t>
      </w:r>
      <w:r w:rsidR="000F689E">
        <w:t>presentation of the findings of the procurement evaluation to</w:t>
      </w:r>
      <w:r w:rsidR="00F14C47">
        <w:t xml:space="preserve"> AYGM and other relevant government stakeholders</w:t>
      </w:r>
      <w:r w:rsidR="00F14C47" w:rsidRPr="006D2244">
        <w:t xml:space="preserve">. The </w:t>
      </w:r>
      <w:r w:rsidR="000F689E">
        <w:t>presentation</w:t>
      </w:r>
      <w:r w:rsidR="00F14C47" w:rsidRPr="006D2244">
        <w:t xml:space="preserve"> will serve to gather feedback in relation to the options </w:t>
      </w:r>
      <w:r w:rsidR="00F14C47">
        <w:t xml:space="preserve">and proposed </w:t>
      </w:r>
      <w:r w:rsidR="001F0757">
        <w:t>business model</w:t>
      </w:r>
      <w:r w:rsidR="00F14C47" w:rsidRPr="006D2244">
        <w:t xml:space="preserve">. </w:t>
      </w:r>
      <w:r w:rsidR="000F689E">
        <w:t>The</w:t>
      </w:r>
      <w:r w:rsidR="00F14C47" w:rsidRPr="006D2244">
        <w:t xml:space="preserve"> Consultant will prepare a client presentation summarizing the main conclusions and recommendations </w:t>
      </w:r>
      <w:r w:rsidR="00FF0415">
        <w:t>emanating from this task</w:t>
      </w:r>
      <w:r w:rsidR="00F14C47" w:rsidRPr="006D2244">
        <w:t>.</w:t>
      </w:r>
      <w:r w:rsidR="00F56C56">
        <w:t xml:space="preserve"> </w:t>
      </w:r>
      <w:r w:rsidR="00F56C56" w:rsidRPr="006E542C">
        <w:t xml:space="preserve">Following the </w:t>
      </w:r>
      <w:r w:rsidR="00F56C56">
        <w:t>client presentation</w:t>
      </w:r>
      <w:r w:rsidR="00F56C56" w:rsidRPr="006E542C">
        <w:t xml:space="preserve">, the Consultant will also deliver a final report including the observations made during the </w:t>
      </w:r>
      <w:r w:rsidR="003A1AF4">
        <w:t>presentation</w:t>
      </w:r>
      <w:r w:rsidR="00F56C56" w:rsidRPr="006E542C">
        <w:t xml:space="preserve"> and the comments of the Client</w:t>
      </w:r>
      <w:r w:rsidR="00B2322F">
        <w:t xml:space="preserve"> for incorporation in the next task</w:t>
      </w:r>
      <w:r w:rsidR="00F56C56" w:rsidRPr="006E542C">
        <w:t xml:space="preserve">. </w:t>
      </w:r>
    </w:p>
    <w:p w14:paraId="6CB46F17" w14:textId="54112D9B" w:rsidR="001834A2" w:rsidRDefault="0070705C" w:rsidP="001834A2">
      <w:pPr>
        <w:jc w:val="both"/>
      </w:pPr>
      <w:r>
        <w:rPr>
          <w:b/>
          <w:bCs/>
        </w:rPr>
        <w:t>Outputs</w:t>
      </w:r>
      <w:r w:rsidR="001834A2" w:rsidRPr="001834A2">
        <w:rPr>
          <w:b/>
          <w:bCs/>
        </w:rPr>
        <w:t>:</w:t>
      </w:r>
      <w:r w:rsidR="001834A2">
        <w:t xml:space="preserve"> </w:t>
      </w:r>
    </w:p>
    <w:p w14:paraId="3A163995" w14:textId="249A0561" w:rsidR="008E05CE" w:rsidRPr="008E05CE" w:rsidRDefault="001834A2" w:rsidP="006E542C">
      <w:pPr>
        <w:pStyle w:val="ListeParagraf"/>
        <w:numPr>
          <w:ilvl w:val="0"/>
          <w:numId w:val="15"/>
        </w:numPr>
        <w:jc w:val="both"/>
      </w:pPr>
      <w:r>
        <w:t>Client</w:t>
      </w:r>
      <w:r w:rsidR="008E05CE" w:rsidRPr="008E05CE">
        <w:t xml:space="preserve"> </w:t>
      </w:r>
      <w:r w:rsidR="00E068FC">
        <w:t xml:space="preserve">and Stakeholder </w:t>
      </w:r>
      <w:r w:rsidR="008E05CE" w:rsidRPr="008E05CE">
        <w:t>Presentation</w:t>
      </w:r>
    </w:p>
    <w:p w14:paraId="19C0FC31" w14:textId="7D5D52C4" w:rsidR="00F779F5" w:rsidRPr="006E542C" w:rsidRDefault="003A1AF4" w:rsidP="006E542C">
      <w:pPr>
        <w:pStyle w:val="ListeParagraf"/>
        <w:numPr>
          <w:ilvl w:val="0"/>
          <w:numId w:val="15"/>
        </w:numPr>
        <w:jc w:val="both"/>
        <w:rPr>
          <w:b/>
          <w:bCs/>
        </w:rPr>
      </w:pPr>
      <w:r>
        <w:t>Analysis</w:t>
      </w:r>
      <w:r w:rsidR="00B2322F">
        <w:t xml:space="preserve"> Report</w:t>
      </w:r>
    </w:p>
    <w:p w14:paraId="148C0039" w14:textId="77777777" w:rsidR="00C22D2F" w:rsidRDefault="00C22D2F" w:rsidP="00DE3226"/>
    <w:p w14:paraId="10F55C6A" w14:textId="003D21FE" w:rsidR="00DE5A77" w:rsidRPr="00AD00C3" w:rsidRDefault="00DE5A77" w:rsidP="00AD00C3">
      <w:pPr>
        <w:pStyle w:val="Balk2"/>
      </w:pPr>
      <w:bookmarkStart w:id="16" w:name="_Toc188986848"/>
      <w:r w:rsidRPr="00AD00C3">
        <w:t>Task</w:t>
      </w:r>
      <w:r w:rsidR="00C826DB" w:rsidRPr="00AD00C3">
        <w:t xml:space="preserve"> </w:t>
      </w:r>
      <w:r w:rsidR="000F696C">
        <w:t>3</w:t>
      </w:r>
      <w:r w:rsidR="00C826DB" w:rsidRPr="00AD00C3">
        <w:t xml:space="preserve">: </w:t>
      </w:r>
      <w:r w:rsidR="00470900">
        <w:t xml:space="preserve"> </w:t>
      </w:r>
      <w:r w:rsidR="000A68FC">
        <w:t xml:space="preserve">Procurement </w:t>
      </w:r>
      <w:r w:rsidR="00F56C56">
        <w:t xml:space="preserve">Strategy and </w:t>
      </w:r>
      <w:r w:rsidR="000A68FC">
        <w:t>Plan</w:t>
      </w:r>
      <w:bookmarkEnd w:id="16"/>
    </w:p>
    <w:p w14:paraId="79DD83D3" w14:textId="77777777" w:rsidR="00470900" w:rsidRDefault="00470900" w:rsidP="008F5929"/>
    <w:p w14:paraId="24609120" w14:textId="44910E07" w:rsidR="00101829" w:rsidRPr="00101829" w:rsidRDefault="00101829" w:rsidP="008F5929">
      <w:r>
        <w:t>This task includes the following activities:</w:t>
      </w:r>
    </w:p>
    <w:p w14:paraId="68F19A24" w14:textId="5715124D" w:rsidR="00470900" w:rsidRDefault="00470900" w:rsidP="00470900">
      <w:pPr>
        <w:pStyle w:val="Balk3"/>
        <w:jc w:val="both"/>
      </w:pPr>
      <w:bookmarkStart w:id="17" w:name="_Toc188986849"/>
      <w:r>
        <w:t>Project Procurement Strategy for Development (PPSD)</w:t>
      </w:r>
      <w:bookmarkEnd w:id="17"/>
      <w:r w:rsidR="00775AD7">
        <w:t xml:space="preserve"> </w:t>
      </w:r>
    </w:p>
    <w:p w14:paraId="13835DD7" w14:textId="534DF3E3" w:rsidR="00CB4693" w:rsidRDefault="00FF0415" w:rsidP="004B6FE0">
      <w:pPr>
        <w:jc w:val="both"/>
      </w:pPr>
      <w:r>
        <w:t>Incorporating the</w:t>
      </w:r>
      <w:r w:rsidR="00CA70E7">
        <w:t xml:space="preserve"> results of the assessment and</w:t>
      </w:r>
      <w:r>
        <w:t xml:space="preserve"> comments received in the client presentation, the Consultant will prepare a final</w:t>
      </w:r>
      <w:r w:rsidR="00FC753E" w:rsidRPr="0093017C">
        <w:t xml:space="preserve"> </w:t>
      </w:r>
      <w:r w:rsidR="00FC753E">
        <w:t>procurement strategy</w:t>
      </w:r>
      <w:r w:rsidR="00FC753E" w:rsidRPr="0093017C">
        <w:t xml:space="preserve">, including a detailed explanation of the </w:t>
      </w:r>
      <w:r w:rsidR="00FC753E">
        <w:t>procurement and financing schemes, as well as outline a plan for its implementation.</w:t>
      </w:r>
      <w:r w:rsidR="00FC753E" w:rsidRPr="00945BBB">
        <w:t xml:space="preserve"> </w:t>
      </w:r>
      <w:r w:rsidR="00FC753E">
        <w:t xml:space="preserve"> Specifically, the Procurement strategy should provide recommendations on how AYGM should approach the market, establish scope and sequence of contracts, select contractors, and </w:t>
      </w:r>
      <w:r w:rsidR="00F56C56">
        <w:t>manage the contracts</w:t>
      </w:r>
      <w:r w:rsidR="00FC753E">
        <w:t>. The strategy should suggest</w:t>
      </w:r>
      <w:r w:rsidR="004F559C">
        <w:t xml:space="preserve"> </w:t>
      </w:r>
      <w:r w:rsidR="00FC753E">
        <w:t>modification to the requirements, if needed, to align them to the market’s capability, or actions to influence the marketplace so that it is willing and able to meet the requirements.</w:t>
      </w:r>
      <w:r w:rsidR="00775AD7">
        <w:t xml:space="preserve"> </w:t>
      </w:r>
      <w:r w:rsidR="00DE1C5A">
        <w:t xml:space="preserve">For the development of </w:t>
      </w:r>
      <w:r w:rsidR="00DE1C5A">
        <w:lastRenderedPageBreak/>
        <w:t xml:space="preserve">the PPSD, Consultants are expected to follow the World Bank’s Procurement Regulations and Guidelines, as well as related templates. </w:t>
      </w:r>
      <w:r w:rsidR="00DE1C5A">
        <w:rPr>
          <w:rStyle w:val="DipnotBavurusu"/>
        </w:rPr>
        <w:footnoteReference w:id="4"/>
      </w:r>
      <w:r w:rsidR="004B6FE0">
        <w:t xml:space="preserve"> </w:t>
      </w:r>
    </w:p>
    <w:p w14:paraId="45F4C919" w14:textId="6460F5A7" w:rsidR="00CA70E7" w:rsidRDefault="00CB4693" w:rsidP="004B6FE0">
      <w:pPr>
        <w:jc w:val="both"/>
      </w:pPr>
      <w:r>
        <w:t xml:space="preserve">Building on the risk analysis in the previous task, the Consultant will develop a </w:t>
      </w:r>
      <w:r w:rsidR="004B6FE0" w:rsidRPr="004B6FE0">
        <w:t xml:space="preserve">Risk Management Plan </w:t>
      </w:r>
      <w:r>
        <w:t xml:space="preserve">to </w:t>
      </w:r>
      <w:r w:rsidR="00144749">
        <w:t xml:space="preserve">form part of </w:t>
      </w:r>
      <w:r w:rsidR="004B6FE0" w:rsidRPr="004B6FE0">
        <w:t>the PPSD</w:t>
      </w:r>
      <w:r>
        <w:t xml:space="preserve">. This risk management plan should </w:t>
      </w:r>
      <w:r w:rsidR="004B6FE0" w:rsidRPr="004B6FE0">
        <w:t>cover all major risks to</w:t>
      </w:r>
      <w:r w:rsidR="004B6FE0">
        <w:t xml:space="preserve"> </w:t>
      </w:r>
      <w:r w:rsidR="004B6FE0" w:rsidRPr="004B6FE0">
        <w:t xml:space="preserve">achieving the defined needs through </w:t>
      </w:r>
      <w:r w:rsidR="00B84531">
        <w:t>the implementation of</w:t>
      </w:r>
      <w:r w:rsidR="004B6FE0" w:rsidRPr="004B6FE0">
        <w:t xml:space="preserve"> procurement arrangements. Risks can</w:t>
      </w:r>
      <w:r w:rsidR="004B6FE0">
        <w:t xml:space="preserve"> </w:t>
      </w:r>
      <w:r w:rsidR="004B6FE0" w:rsidRPr="004B6FE0">
        <w:t>relate to the operating environment, market conditions, implementing agency capacity,</w:t>
      </w:r>
      <w:r w:rsidR="004B6FE0">
        <w:t xml:space="preserve"> p</w:t>
      </w:r>
      <w:r w:rsidR="004B6FE0" w:rsidRPr="004B6FE0">
        <w:t>rocurement complexity and risk of SEA/SH</w:t>
      </w:r>
      <w:r w:rsidR="00152310">
        <w:t>, if applicable</w:t>
      </w:r>
      <w:r w:rsidR="004B6FE0" w:rsidRPr="004B6FE0">
        <w:t>.</w:t>
      </w:r>
      <w:r w:rsidR="004B6FE0">
        <w:t xml:space="preserve">  </w:t>
      </w:r>
      <w:r w:rsidR="004B6FE0" w:rsidRPr="004B6FE0">
        <w:t xml:space="preserve">The likelihood and impact of each risk </w:t>
      </w:r>
      <w:r w:rsidR="00144749">
        <w:t>will</w:t>
      </w:r>
      <w:r w:rsidR="004B6FE0" w:rsidRPr="004B6FE0">
        <w:t xml:space="preserve"> be assessed, and a prioritized Risk Mitigation Plan</w:t>
      </w:r>
      <w:r w:rsidR="004B6FE0">
        <w:t xml:space="preserve"> </w:t>
      </w:r>
      <w:r w:rsidR="004B6FE0" w:rsidRPr="004B6FE0">
        <w:t>developed and maintained throughout the life of the project, procurement risks and opportunities</w:t>
      </w:r>
      <w:r w:rsidR="004B6FE0">
        <w:t xml:space="preserve"> </w:t>
      </w:r>
      <w:r w:rsidR="004B6FE0" w:rsidRPr="004B6FE0">
        <w:t>identified are managed through the Procurement Process, including procurement arrangements,</w:t>
      </w:r>
      <w:r w:rsidR="004B6FE0">
        <w:t xml:space="preserve"> </w:t>
      </w:r>
      <w:r w:rsidR="004B6FE0" w:rsidRPr="004B6FE0">
        <w:t>technical specifications, contractual terms and conditions, evaluation criteria, and contract</w:t>
      </w:r>
      <w:r w:rsidR="004B6FE0">
        <w:t xml:space="preserve"> </w:t>
      </w:r>
      <w:r w:rsidR="004B6FE0" w:rsidRPr="004B6FE0">
        <w:t>management.</w:t>
      </w:r>
    </w:p>
    <w:p w14:paraId="6491B1C9" w14:textId="1A7B55C3" w:rsidR="001963E1" w:rsidRDefault="001963E1" w:rsidP="008F5929">
      <w:pPr>
        <w:pStyle w:val="Balk3"/>
        <w:jc w:val="both"/>
      </w:pPr>
      <w:bookmarkStart w:id="18" w:name="_Toc188986850"/>
      <w:r>
        <w:t>Procurement Plan</w:t>
      </w:r>
      <w:bookmarkEnd w:id="18"/>
    </w:p>
    <w:p w14:paraId="479F6754" w14:textId="59ED54F1" w:rsidR="004953BC" w:rsidRDefault="008600DA" w:rsidP="004953BC">
      <w:pPr>
        <w:jc w:val="both"/>
      </w:pPr>
      <w:r>
        <w:t xml:space="preserve">The Consultant will prepare a Procurement Plan </w:t>
      </w:r>
      <w:r w:rsidR="00EE2F9C">
        <w:t xml:space="preserve">(PP) </w:t>
      </w:r>
      <w:r>
        <w:t xml:space="preserve">for the Project based on the </w:t>
      </w:r>
      <w:r w:rsidR="00F92A74">
        <w:t xml:space="preserve">strategy developed in the previous task. </w:t>
      </w:r>
      <w:r w:rsidR="00EE2F9C">
        <w:t xml:space="preserve">The PP </w:t>
      </w:r>
      <w:r w:rsidR="004953BC" w:rsidRPr="00E607DC">
        <w:t>shall</w:t>
      </w:r>
      <w:r w:rsidR="004953BC">
        <w:t xml:space="preserve"> also</w:t>
      </w:r>
      <w:r w:rsidR="004953BC" w:rsidRPr="00E607DC">
        <w:t xml:space="preserve"> outline the proposed </w:t>
      </w:r>
      <w:r w:rsidR="004953BC">
        <w:t xml:space="preserve">bid </w:t>
      </w:r>
      <w:r w:rsidR="004953BC" w:rsidRPr="00E607DC">
        <w:t>evaluation approach and methodology, the various stages of evaluation and, where Rated Criteria are to be used</w:t>
      </w:r>
      <w:r w:rsidR="004953BC">
        <w:rPr>
          <w:rStyle w:val="DipnotBavurusu"/>
        </w:rPr>
        <w:footnoteReference w:id="5"/>
      </w:r>
      <w:r w:rsidR="004953BC" w:rsidRPr="00E607DC">
        <w:t xml:space="preserve">, the specific non-price/qualitative criteria and their proposed prioritization and weightings, e.g. methodology, sustainability, innovation, etc. The PPSD shall provide adequate justification for the selection methods in the Procurement Plan. The initial Procurement Plan shall normally cover at least the first eighteen (18) months of the project implementation. </w:t>
      </w:r>
    </w:p>
    <w:p w14:paraId="1CF9CFBC" w14:textId="70C3C4B1" w:rsidR="00775AD7" w:rsidRDefault="00775AD7" w:rsidP="00B511C6">
      <w:pPr>
        <w:pStyle w:val="Balk3"/>
        <w:jc w:val="both"/>
      </w:pPr>
      <w:bookmarkStart w:id="19" w:name="_Toc188986851"/>
      <w:r>
        <w:t>Contract Management Plan</w:t>
      </w:r>
      <w:bookmarkEnd w:id="19"/>
    </w:p>
    <w:p w14:paraId="1D458357" w14:textId="37B60835" w:rsidR="004B6FE0" w:rsidRPr="004B6FE0" w:rsidRDefault="004B6FE0" w:rsidP="004B6FE0">
      <w:pPr>
        <w:jc w:val="both"/>
      </w:pPr>
      <w:r w:rsidRPr="004B6FE0">
        <w:t>The PPSD will identify those contracts requiring a Contract Management Plan</w:t>
      </w:r>
      <w:r w:rsidR="00BA32D3">
        <w:t>, including recommended requirements and roles for construction supervision and/or project management oversight consultants</w:t>
      </w:r>
      <w:r w:rsidR="005D2B6B">
        <w:t xml:space="preserve"> that can support contract management</w:t>
      </w:r>
      <w:r w:rsidRPr="004B6FE0">
        <w:t>.</w:t>
      </w:r>
      <w:r>
        <w:t xml:space="preserve">  </w:t>
      </w:r>
      <w:r w:rsidRPr="004B6FE0">
        <w:t>Where required Key Performance Indicators (KPIs) are set to ensure that</w:t>
      </w:r>
      <w:r>
        <w:t xml:space="preserve"> </w:t>
      </w:r>
      <w:r w:rsidRPr="004B6FE0">
        <w:t>contractor performance is satisfactory, contract requirements are met, and relevant stakeholders</w:t>
      </w:r>
      <w:r>
        <w:t xml:space="preserve"> </w:t>
      </w:r>
      <w:r w:rsidRPr="004B6FE0">
        <w:t>are well informed and satisfied with the Works</w:t>
      </w:r>
      <w:r>
        <w:t xml:space="preserve"> </w:t>
      </w:r>
      <w:r w:rsidRPr="004B6FE0">
        <w:t>provided under the contract.</w:t>
      </w:r>
      <w:r>
        <w:t xml:space="preserve"> The </w:t>
      </w:r>
      <w:r w:rsidRPr="004B6FE0">
        <w:t>Contract Management Plans</w:t>
      </w:r>
      <w:r>
        <w:t xml:space="preserve"> will </w:t>
      </w:r>
      <w:r w:rsidRPr="004B6FE0">
        <w:t>contain a</w:t>
      </w:r>
      <w:r>
        <w:t xml:space="preserve"> </w:t>
      </w:r>
      <w:r w:rsidRPr="004B6FE0">
        <w:t>summary of details as follows:</w:t>
      </w:r>
    </w:p>
    <w:p w14:paraId="451288F8" w14:textId="54265479" w:rsidR="004B6FE0" w:rsidRDefault="00144749" w:rsidP="004B6FE0">
      <w:pPr>
        <w:pStyle w:val="ListeParagraf"/>
        <w:numPr>
          <w:ilvl w:val="0"/>
          <w:numId w:val="17"/>
        </w:numPr>
        <w:jc w:val="both"/>
      </w:pPr>
      <w:r>
        <w:t>I</w:t>
      </w:r>
      <w:r w:rsidR="004B6FE0" w:rsidRPr="004B6FE0">
        <w:t>dentified potential risks (such as delays in the contractor’s right of access to site, payment</w:t>
      </w:r>
      <w:r w:rsidR="004B6FE0">
        <w:t xml:space="preserve"> </w:t>
      </w:r>
      <w:r w:rsidR="004B6FE0" w:rsidRPr="004B6FE0">
        <w:t xml:space="preserve">delays, and other defaults in the </w:t>
      </w:r>
      <w:r w:rsidR="004B6FE0">
        <w:t>Client</w:t>
      </w:r>
      <w:r w:rsidR="004B6FE0" w:rsidRPr="004B6FE0">
        <w:t>’s contractual obligations that could potentially</w:t>
      </w:r>
      <w:r w:rsidR="004B6FE0">
        <w:t xml:space="preserve"> </w:t>
      </w:r>
      <w:r w:rsidR="004B6FE0" w:rsidRPr="004B6FE0">
        <w:t>lead to contractual disputes), and their mitigation</w:t>
      </w:r>
      <w:r w:rsidR="004B6FE0">
        <w:t xml:space="preserve">. </w:t>
      </w:r>
      <w:r>
        <w:t xml:space="preserve"> </w:t>
      </w:r>
    </w:p>
    <w:p w14:paraId="20AE7BBD" w14:textId="2B8C7D39" w:rsidR="005D2B6B" w:rsidRPr="004B6FE0" w:rsidRDefault="005D2B6B" w:rsidP="004B6FE0">
      <w:pPr>
        <w:pStyle w:val="ListeParagraf"/>
        <w:numPr>
          <w:ilvl w:val="0"/>
          <w:numId w:val="17"/>
        </w:numPr>
        <w:jc w:val="both"/>
      </w:pPr>
      <w:r>
        <w:t>Identified mitigants and contract management support.</w:t>
      </w:r>
    </w:p>
    <w:p w14:paraId="731D6D5B" w14:textId="3DB17441" w:rsidR="004B6FE0" w:rsidRPr="004B6FE0" w:rsidRDefault="00144749" w:rsidP="004B6FE0">
      <w:pPr>
        <w:pStyle w:val="ListeParagraf"/>
        <w:numPr>
          <w:ilvl w:val="0"/>
          <w:numId w:val="17"/>
        </w:numPr>
        <w:jc w:val="both"/>
      </w:pPr>
      <w:r>
        <w:t>K</w:t>
      </w:r>
      <w:r w:rsidR="004B6FE0" w:rsidRPr="004B6FE0">
        <w:t>ey contacts and roles and responsibilities of the parties:</w:t>
      </w:r>
    </w:p>
    <w:p w14:paraId="4AF91F0A" w14:textId="453A4C25" w:rsidR="004B6FE0" w:rsidRPr="004B6FE0" w:rsidRDefault="004B6FE0" w:rsidP="00144749">
      <w:pPr>
        <w:pStyle w:val="ListeParagraf"/>
        <w:numPr>
          <w:ilvl w:val="1"/>
          <w:numId w:val="19"/>
        </w:numPr>
        <w:jc w:val="both"/>
      </w:pPr>
      <w:r w:rsidRPr="004B6FE0">
        <w:t>the names and contact details of the key contacts for each party</w:t>
      </w:r>
      <w:r w:rsidR="00144749">
        <w:t>,</w:t>
      </w:r>
    </w:p>
    <w:p w14:paraId="3B5CFBB9" w14:textId="5EEB7F3B" w:rsidR="004B6FE0" w:rsidRPr="004B6FE0" w:rsidRDefault="004B6FE0" w:rsidP="00144749">
      <w:pPr>
        <w:pStyle w:val="ListeParagraf"/>
        <w:numPr>
          <w:ilvl w:val="1"/>
          <w:numId w:val="19"/>
        </w:numPr>
        <w:jc w:val="both"/>
      </w:pPr>
      <w:r w:rsidRPr="004B6FE0">
        <w:t>ensuring that each party has established the necessary authorizations and delegations</w:t>
      </w:r>
      <w:r>
        <w:t xml:space="preserve"> </w:t>
      </w:r>
      <w:r w:rsidRPr="004B6FE0">
        <w:t>for its personnel at the beginning of the contract is an important prerequisite to</w:t>
      </w:r>
      <w:r>
        <w:t xml:space="preserve"> </w:t>
      </w:r>
      <w:r w:rsidRPr="004B6FE0">
        <w:t>ensuring that all contracting decisions are valid and enforceable</w:t>
      </w:r>
      <w:r w:rsidR="00144749">
        <w:t xml:space="preserve">. </w:t>
      </w:r>
    </w:p>
    <w:p w14:paraId="7931ACC3" w14:textId="2BFD8A5C" w:rsidR="004B6FE0" w:rsidRPr="004B6FE0" w:rsidRDefault="00144749" w:rsidP="004B6FE0">
      <w:pPr>
        <w:pStyle w:val="ListeParagraf"/>
        <w:numPr>
          <w:ilvl w:val="0"/>
          <w:numId w:val="17"/>
        </w:numPr>
        <w:jc w:val="both"/>
      </w:pPr>
      <w:r>
        <w:t>C</w:t>
      </w:r>
      <w:r w:rsidR="004B6FE0" w:rsidRPr="004B6FE0">
        <w:t>ommunication and reporting procedures</w:t>
      </w:r>
    </w:p>
    <w:p w14:paraId="4071D44A" w14:textId="72711E98" w:rsidR="004B6FE0" w:rsidRPr="00E607DC" w:rsidRDefault="00144749" w:rsidP="004B6FE0">
      <w:pPr>
        <w:pStyle w:val="ListeParagraf"/>
        <w:numPr>
          <w:ilvl w:val="0"/>
          <w:numId w:val="17"/>
        </w:numPr>
        <w:jc w:val="both"/>
      </w:pPr>
      <w:r>
        <w:lastRenderedPageBreak/>
        <w:t>K</w:t>
      </w:r>
      <w:r w:rsidR="004B6FE0" w:rsidRPr="004B6FE0">
        <w:t>ey contractual terms and conditions</w:t>
      </w:r>
      <w:r w:rsidR="004B6FE0">
        <w:t xml:space="preserve">. </w:t>
      </w:r>
    </w:p>
    <w:p w14:paraId="57CCFCE9" w14:textId="09E341BC" w:rsidR="006E542C" w:rsidRDefault="0070705C" w:rsidP="008F5929">
      <w:pPr>
        <w:pStyle w:val="Balk4"/>
      </w:pPr>
      <w:r>
        <w:rPr>
          <w:b/>
          <w:bCs/>
        </w:rPr>
        <w:t>Outputs</w:t>
      </w:r>
      <w:r w:rsidR="00434BF0" w:rsidRPr="00434BF0">
        <w:rPr>
          <w:b/>
          <w:bCs/>
        </w:rPr>
        <w:t>:</w:t>
      </w:r>
      <w:r w:rsidR="00434BF0">
        <w:t xml:space="preserve"> </w:t>
      </w:r>
    </w:p>
    <w:p w14:paraId="2CEF7328" w14:textId="6FB4CDC3" w:rsidR="006E542C" w:rsidRDefault="00C34240" w:rsidP="008F5929">
      <w:pPr>
        <w:pStyle w:val="ListeParagraf"/>
        <w:numPr>
          <w:ilvl w:val="0"/>
          <w:numId w:val="13"/>
        </w:numPr>
        <w:jc w:val="both"/>
      </w:pPr>
      <w:r>
        <w:t>PPSD</w:t>
      </w:r>
    </w:p>
    <w:p w14:paraId="1A62F87D" w14:textId="62B30A3D" w:rsidR="00031DCE" w:rsidRDefault="00031DCE" w:rsidP="00C34240">
      <w:pPr>
        <w:pStyle w:val="ListeParagraf"/>
        <w:numPr>
          <w:ilvl w:val="0"/>
          <w:numId w:val="13"/>
        </w:numPr>
        <w:jc w:val="both"/>
      </w:pPr>
      <w:r>
        <w:t xml:space="preserve">Procurement </w:t>
      </w:r>
      <w:r w:rsidR="00A556BC">
        <w:t xml:space="preserve">and Contract Management </w:t>
      </w:r>
      <w:r>
        <w:t>Plan</w:t>
      </w:r>
      <w:r w:rsidR="00A556BC">
        <w:t>s</w:t>
      </w:r>
    </w:p>
    <w:p w14:paraId="3B6C6BAA" w14:textId="16A5A67F" w:rsidR="00446715" w:rsidRPr="001C7B0E" w:rsidRDefault="00517CB0" w:rsidP="00AD00C3">
      <w:pPr>
        <w:pStyle w:val="Balk1"/>
        <w:numPr>
          <w:ilvl w:val="0"/>
          <w:numId w:val="7"/>
        </w:numPr>
      </w:pPr>
      <w:bookmarkStart w:id="20" w:name="_Toc188986852"/>
      <w:r w:rsidRPr="001C7B0E">
        <w:t>Deliverables and Timeline</w:t>
      </w:r>
      <w:bookmarkEnd w:id="20"/>
    </w:p>
    <w:p w14:paraId="3DE00CF4" w14:textId="77777777" w:rsidR="00517CB0" w:rsidRDefault="00517CB0" w:rsidP="00517CB0">
      <w:pPr>
        <w:pStyle w:val="ListeParagraf"/>
        <w:ind w:left="0"/>
        <w:jc w:val="both"/>
      </w:pPr>
    </w:p>
    <w:p w14:paraId="00C406E9" w14:textId="462D5EAF" w:rsidR="00B77F39" w:rsidRDefault="004E5205" w:rsidP="00B77F39">
      <w:pPr>
        <w:pStyle w:val="ListeParagraf"/>
        <w:ind w:left="0"/>
        <w:jc w:val="both"/>
      </w:pPr>
      <w:r w:rsidRPr="004E5205">
        <w:t>The table below lists the key deliverables under the various tasks</w:t>
      </w:r>
      <w:r>
        <w:t>:</w:t>
      </w:r>
    </w:p>
    <w:p w14:paraId="346C37AA" w14:textId="77777777" w:rsidR="004E5205" w:rsidRDefault="004E5205" w:rsidP="00517CB0">
      <w:pPr>
        <w:pStyle w:val="ListeParagraf"/>
        <w:ind w:left="0"/>
        <w:jc w:val="both"/>
      </w:pPr>
    </w:p>
    <w:tbl>
      <w:tblPr>
        <w:tblStyle w:val="TabloKlavuzu"/>
        <w:tblW w:w="0" w:type="auto"/>
        <w:tblLook w:val="04A0" w:firstRow="1" w:lastRow="0" w:firstColumn="1" w:lastColumn="0" w:noHBand="0" w:noVBand="1"/>
      </w:tblPr>
      <w:tblGrid>
        <w:gridCol w:w="3116"/>
        <w:gridCol w:w="3809"/>
        <w:gridCol w:w="2425"/>
      </w:tblGrid>
      <w:tr w:rsidR="008B6A19" w14:paraId="1BF25C1C" w14:textId="77777777" w:rsidTr="008F5929">
        <w:tc>
          <w:tcPr>
            <w:tcW w:w="3116" w:type="dxa"/>
            <w:shd w:val="clear" w:color="auto" w:fill="DEEAF6" w:themeFill="accent5" w:themeFillTint="33"/>
          </w:tcPr>
          <w:p w14:paraId="35EF6D20" w14:textId="3ED142D2" w:rsidR="00444A7D" w:rsidRPr="00E95973" w:rsidRDefault="00945BBB" w:rsidP="008F5929">
            <w:pPr>
              <w:pStyle w:val="ListeParagraf"/>
              <w:ind w:left="0"/>
              <w:jc w:val="center"/>
              <w:rPr>
                <w:b/>
                <w:bCs/>
              </w:rPr>
            </w:pPr>
            <w:r w:rsidRPr="00E95973">
              <w:rPr>
                <w:b/>
                <w:bCs/>
              </w:rPr>
              <w:t>Task</w:t>
            </w:r>
          </w:p>
        </w:tc>
        <w:tc>
          <w:tcPr>
            <w:tcW w:w="3809" w:type="dxa"/>
            <w:shd w:val="clear" w:color="auto" w:fill="DEEAF6" w:themeFill="accent5" w:themeFillTint="33"/>
          </w:tcPr>
          <w:p w14:paraId="3D3A27FC" w14:textId="5DE1AA42" w:rsidR="00444A7D" w:rsidRPr="00E95973" w:rsidRDefault="0070705C" w:rsidP="008F5929">
            <w:pPr>
              <w:pStyle w:val="ListeParagraf"/>
              <w:ind w:left="0"/>
              <w:jc w:val="center"/>
              <w:rPr>
                <w:b/>
                <w:bCs/>
              </w:rPr>
            </w:pPr>
            <w:r>
              <w:rPr>
                <w:b/>
                <w:bCs/>
              </w:rPr>
              <w:t>Deliverable</w:t>
            </w:r>
          </w:p>
        </w:tc>
        <w:tc>
          <w:tcPr>
            <w:tcW w:w="2425" w:type="dxa"/>
            <w:shd w:val="clear" w:color="auto" w:fill="DEEAF6" w:themeFill="accent5" w:themeFillTint="33"/>
          </w:tcPr>
          <w:p w14:paraId="7B1CD3B2" w14:textId="194BF041" w:rsidR="00444A7D" w:rsidRPr="00E95973" w:rsidRDefault="00C728EE" w:rsidP="008F5929">
            <w:pPr>
              <w:pStyle w:val="ListeParagraf"/>
              <w:ind w:left="0"/>
              <w:jc w:val="center"/>
              <w:rPr>
                <w:b/>
                <w:bCs/>
              </w:rPr>
            </w:pPr>
            <w:r w:rsidRPr="00E95973">
              <w:rPr>
                <w:b/>
                <w:bCs/>
              </w:rPr>
              <w:t>Timeline</w:t>
            </w:r>
          </w:p>
        </w:tc>
      </w:tr>
      <w:tr w:rsidR="008B6A19" w14:paraId="0811F3D0" w14:textId="77777777" w:rsidTr="008F5929">
        <w:trPr>
          <w:trHeight w:val="1061"/>
        </w:trPr>
        <w:tc>
          <w:tcPr>
            <w:tcW w:w="3116" w:type="dxa"/>
            <w:vAlign w:val="center"/>
          </w:tcPr>
          <w:p w14:paraId="3BC46F2C" w14:textId="354D7E51" w:rsidR="00444A7D" w:rsidRDefault="00444A7D" w:rsidP="00D11DDB">
            <w:pPr>
              <w:pStyle w:val="ListeParagraf"/>
              <w:ind w:left="0"/>
            </w:pPr>
            <w:r>
              <w:t>Task 1</w:t>
            </w:r>
            <w:r w:rsidR="00C728EE">
              <w:t xml:space="preserve">: </w:t>
            </w:r>
            <w:r w:rsidR="00E32327">
              <w:t>Assessment of Strategic Context</w:t>
            </w:r>
          </w:p>
        </w:tc>
        <w:tc>
          <w:tcPr>
            <w:tcW w:w="3809" w:type="dxa"/>
            <w:vAlign w:val="center"/>
          </w:tcPr>
          <w:p w14:paraId="79E9AC05" w14:textId="574FF541" w:rsidR="00444A7D" w:rsidRDefault="00E32327" w:rsidP="008F5929">
            <w:pPr>
              <w:pStyle w:val="ListeParagraf"/>
              <w:ind w:left="0"/>
            </w:pPr>
            <w:r>
              <w:t xml:space="preserve">Context </w:t>
            </w:r>
            <w:r w:rsidR="00C97601">
              <w:t>Report</w:t>
            </w:r>
          </w:p>
        </w:tc>
        <w:tc>
          <w:tcPr>
            <w:tcW w:w="2425" w:type="dxa"/>
            <w:vAlign w:val="center"/>
          </w:tcPr>
          <w:p w14:paraId="14792F22" w14:textId="470022C4" w:rsidR="00444A7D" w:rsidRDefault="00B77F39" w:rsidP="00D11DDB">
            <w:pPr>
              <w:pStyle w:val="ListeParagraf"/>
              <w:ind w:left="0"/>
              <w:jc w:val="center"/>
            </w:pPr>
            <w:r>
              <w:t>1 month from contract start date</w:t>
            </w:r>
          </w:p>
        </w:tc>
      </w:tr>
      <w:tr w:rsidR="008B6A19" w14:paraId="4BFE1518" w14:textId="77777777" w:rsidTr="008F5929">
        <w:trPr>
          <w:trHeight w:val="971"/>
        </w:trPr>
        <w:tc>
          <w:tcPr>
            <w:tcW w:w="3116" w:type="dxa"/>
            <w:vAlign w:val="center"/>
          </w:tcPr>
          <w:p w14:paraId="33C3187A" w14:textId="3180A0C5" w:rsidR="00444A7D" w:rsidRDefault="00444A7D" w:rsidP="00D11DDB">
            <w:pPr>
              <w:pStyle w:val="ListeParagraf"/>
              <w:ind w:left="0"/>
            </w:pPr>
            <w:r>
              <w:t>Task 2</w:t>
            </w:r>
            <w:r w:rsidR="00C728EE">
              <w:t xml:space="preserve">: </w:t>
            </w:r>
            <w:r w:rsidR="00E32327">
              <w:t>Market and Risk Analysis and Evaluation of Alternatives</w:t>
            </w:r>
          </w:p>
        </w:tc>
        <w:tc>
          <w:tcPr>
            <w:tcW w:w="3809" w:type="dxa"/>
            <w:vAlign w:val="center"/>
          </w:tcPr>
          <w:p w14:paraId="5E8ED6B6" w14:textId="2EA47D75" w:rsidR="00444A7D" w:rsidRDefault="00E32327" w:rsidP="008F5929">
            <w:pPr>
              <w:pStyle w:val="ListeParagraf"/>
              <w:ind w:left="0"/>
            </w:pPr>
            <w:r>
              <w:t>Analysis</w:t>
            </w:r>
            <w:r w:rsidR="00832978">
              <w:t xml:space="preserve"> Report</w:t>
            </w:r>
          </w:p>
        </w:tc>
        <w:tc>
          <w:tcPr>
            <w:tcW w:w="2425" w:type="dxa"/>
            <w:vAlign w:val="center"/>
          </w:tcPr>
          <w:p w14:paraId="28CFEE84" w14:textId="73E4852B" w:rsidR="00444A7D" w:rsidRDefault="00B77F39" w:rsidP="00D11DDB">
            <w:pPr>
              <w:pStyle w:val="ListeParagraf"/>
              <w:ind w:left="0"/>
              <w:jc w:val="center"/>
            </w:pPr>
            <w:r>
              <w:t>3 months from contract start date</w:t>
            </w:r>
          </w:p>
        </w:tc>
      </w:tr>
      <w:tr w:rsidR="008B6A19" w14:paraId="52D3F547" w14:textId="77777777" w:rsidTr="008F5929">
        <w:trPr>
          <w:trHeight w:val="1052"/>
        </w:trPr>
        <w:tc>
          <w:tcPr>
            <w:tcW w:w="3116" w:type="dxa"/>
            <w:vAlign w:val="center"/>
          </w:tcPr>
          <w:p w14:paraId="47F01132" w14:textId="776DCDD0" w:rsidR="00444A7D" w:rsidRDefault="00444A7D" w:rsidP="00D11DDB">
            <w:pPr>
              <w:pStyle w:val="ListeParagraf"/>
              <w:ind w:left="0"/>
            </w:pPr>
            <w:r>
              <w:t xml:space="preserve">Task </w:t>
            </w:r>
            <w:r w:rsidR="00BA47DD">
              <w:t>3</w:t>
            </w:r>
            <w:r w:rsidR="00C728EE">
              <w:t xml:space="preserve">: </w:t>
            </w:r>
            <w:r w:rsidR="00832978">
              <w:t>Pro</w:t>
            </w:r>
            <w:r w:rsidR="002D5887">
              <w:t>curement Strategy and Plan</w:t>
            </w:r>
          </w:p>
        </w:tc>
        <w:tc>
          <w:tcPr>
            <w:tcW w:w="3809" w:type="dxa"/>
            <w:vAlign w:val="center"/>
          </w:tcPr>
          <w:p w14:paraId="5FD095B6" w14:textId="099CB1D6" w:rsidR="00E95973" w:rsidRDefault="00D11DDB" w:rsidP="008F5929">
            <w:pPr>
              <w:pStyle w:val="ListeParagraf"/>
              <w:ind w:left="0"/>
            </w:pPr>
            <w:r>
              <w:t xml:space="preserve">PPSD and </w:t>
            </w:r>
            <w:r w:rsidR="000A68FC">
              <w:t xml:space="preserve">Procurement </w:t>
            </w:r>
            <w:r w:rsidR="00904DD1">
              <w:t xml:space="preserve">and Contract Management </w:t>
            </w:r>
            <w:r w:rsidR="000A68FC">
              <w:t>Plan</w:t>
            </w:r>
            <w:r w:rsidR="00904DD1">
              <w:t>s</w:t>
            </w:r>
          </w:p>
        </w:tc>
        <w:tc>
          <w:tcPr>
            <w:tcW w:w="2425" w:type="dxa"/>
            <w:vAlign w:val="center"/>
          </w:tcPr>
          <w:p w14:paraId="600C4C32" w14:textId="04D5DA05" w:rsidR="00444A7D" w:rsidRDefault="00C26A80" w:rsidP="00D11DDB">
            <w:pPr>
              <w:pStyle w:val="ListeParagraf"/>
              <w:ind w:left="0"/>
              <w:jc w:val="center"/>
            </w:pPr>
            <w:r>
              <w:t xml:space="preserve">4 </w:t>
            </w:r>
            <w:r w:rsidR="00B77F39">
              <w:t>months from contract start date</w:t>
            </w:r>
          </w:p>
        </w:tc>
      </w:tr>
    </w:tbl>
    <w:p w14:paraId="38F6EE55" w14:textId="77777777" w:rsidR="00AC026A" w:rsidRDefault="00AC026A" w:rsidP="00AC026A">
      <w:pPr>
        <w:pStyle w:val="ListeParagraf"/>
        <w:ind w:left="0"/>
        <w:jc w:val="both"/>
      </w:pPr>
    </w:p>
    <w:p w14:paraId="0C537D0D" w14:textId="6DC9E69B" w:rsidR="005A4408" w:rsidRPr="00517CB0" w:rsidRDefault="00AC026A" w:rsidP="00517CB0">
      <w:pPr>
        <w:pStyle w:val="ListeParagraf"/>
        <w:ind w:left="0"/>
        <w:jc w:val="both"/>
      </w:pPr>
      <w:r>
        <w:t xml:space="preserve">All MS word and MS PowerPoint deliverables will be submitted in English and Turkish. Excel-based and other modeling output will be submitted in English, with Turkish versions optional. </w:t>
      </w:r>
      <w:r w:rsidR="00B70499">
        <w:t xml:space="preserve"> </w:t>
      </w:r>
      <w:r w:rsidR="00311271">
        <w:t xml:space="preserve">Payment will be made against final deliverables incorporating the comments provided </w:t>
      </w:r>
      <w:r w:rsidR="00144749">
        <w:t xml:space="preserve">and approved </w:t>
      </w:r>
      <w:r w:rsidR="00311271">
        <w:t>by the Client.</w:t>
      </w:r>
    </w:p>
    <w:p w14:paraId="355F84F2" w14:textId="4D32F8A2" w:rsidR="00517CB0" w:rsidRPr="00AD00C3" w:rsidRDefault="003136A4" w:rsidP="00AD00C3">
      <w:pPr>
        <w:pStyle w:val="Balk1"/>
        <w:numPr>
          <w:ilvl w:val="0"/>
          <w:numId w:val="7"/>
        </w:numPr>
      </w:pPr>
      <w:bookmarkStart w:id="21" w:name="_Toc188986853"/>
      <w:r>
        <w:t>Consultant Qualifications</w:t>
      </w:r>
      <w:bookmarkEnd w:id="21"/>
    </w:p>
    <w:p w14:paraId="1A5005A8" w14:textId="77777777" w:rsidR="00AD00C3" w:rsidRDefault="00AD00C3" w:rsidP="00654706">
      <w:pPr>
        <w:jc w:val="both"/>
      </w:pPr>
    </w:p>
    <w:p w14:paraId="4C363156" w14:textId="5ABC14E6" w:rsidR="006576DB" w:rsidRDefault="003136A4" w:rsidP="003136A4">
      <w:pPr>
        <w:jc w:val="both"/>
      </w:pPr>
      <w:r>
        <w:t xml:space="preserve">The Consultant is expected to </w:t>
      </w:r>
      <w:r w:rsidR="006576DB">
        <w:t>be a firm or association of firms</w:t>
      </w:r>
      <w:r w:rsidR="003F237E">
        <w:t xml:space="preserve"> with capabilities in transportation engineering, </w:t>
      </w:r>
      <w:r w:rsidR="0038660F">
        <w:t>project financing and legal analysis, with relevant experience in the Turkish transport market. The Consultant should have</w:t>
      </w:r>
      <w:r w:rsidR="006576DB">
        <w:t xml:space="preserve"> </w:t>
      </w:r>
      <w:r>
        <w:t xml:space="preserve">significant experience in the </w:t>
      </w:r>
      <w:r w:rsidR="006576DB">
        <w:t xml:space="preserve">planning, procurement, and/or financing of </w:t>
      </w:r>
      <w:r w:rsidR="0038660F">
        <w:t>transportation</w:t>
      </w:r>
      <w:r w:rsidR="006576DB">
        <w:t xml:space="preserve"> projects</w:t>
      </w:r>
      <w:r w:rsidR="0038660F">
        <w:t xml:space="preserve"> in general, and railway projects in particular</w:t>
      </w:r>
      <w:r w:rsidR="006576DB">
        <w:t xml:space="preserve">. This includes experience </w:t>
      </w:r>
      <w:r>
        <w:t xml:space="preserve">in the technical, institutional and financial assessment of projects involving </w:t>
      </w:r>
      <w:r w:rsidR="006576DB">
        <w:t>IFI and commercial financing</w:t>
      </w:r>
      <w:r>
        <w:t xml:space="preserve">, as well as experience in the planning, evaluation and supervision of </w:t>
      </w:r>
      <w:r w:rsidR="006576DB">
        <w:t xml:space="preserve">these </w:t>
      </w:r>
      <w:r>
        <w:t xml:space="preserve">projects. </w:t>
      </w:r>
    </w:p>
    <w:p w14:paraId="6C605C14" w14:textId="64B67D5B" w:rsidR="00D8028B" w:rsidRDefault="00D8028B" w:rsidP="003136A4">
      <w:pPr>
        <w:jc w:val="both"/>
      </w:pPr>
      <w:r w:rsidRPr="00D8028B">
        <w:t>Local expertise will</w:t>
      </w:r>
      <w:r>
        <w:t xml:space="preserve"> </w:t>
      </w:r>
      <w:r w:rsidRPr="00D8028B">
        <w:t xml:space="preserve">be critical for successful execution of this assignment, particularly a solid knowledge and understanding of the </w:t>
      </w:r>
      <w:r w:rsidR="00F41D77">
        <w:t xml:space="preserve">applicable </w:t>
      </w:r>
      <w:r w:rsidRPr="00D8028B">
        <w:t xml:space="preserve">legal and regulatory framework </w:t>
      </w:r>
      <w:r w:rsidR="00F41D77">
        <w:t xml:space="preserve">in Türkiye, </w:t>
      </w:r>
      <w:r w:rsidRPr="00D8028B">
        <w:t xml:space="preserve">and of the </w:t>
      </w:r>
      <w:r w:rsidR="00F41D77">
        <w:t>railway sector market</w:t>
      </w:r>
      <w:r w:rsidRPr="00D8028B">
        <w:t xml:space="preserve"> dynamics in the country. </w:t>
      </w:r>
    </w:p>
    <w:p w14:paraId="5323642E" w14:textId="6EFA7B10" w:rsidR="00CE0379" w:rsidRDefault="00CE0379" w:rsidP="00654706">
      <w:pPr>
        <w:jc w:val="both"/>
      </w:pPr>
      <w:r>
        <w:t>The Consultant will be expected to mobilize a team comprising at least the following profiles:</w:t>
      </w:r>
    </w:p>
    <w:p w14:paraId="2A4CDAD2" w14:textId="3A472131" w:rsidR="001663D9" w:rsidRPr="001663D9" w:rsidRDefault="00D8028B" w:rsidP="00DE5A77">
      <w:pPr>
        <w:pStyle w:val="ListeParagraf"/>
        <w:numPr>
          <w:ilvl w:val="0"/>
          <w:numId w:val="3"/>
        </w:numPr>
        <w:spacing w:after="120"/>
        <w:ind w:left="360"/>
        <w:contextualSpacing w:val="0"/>
        <w:jc w:val="both"/>
        <w:rPr>
          <w:b/>
          <w:bCs/>
        </w:rPr>
      </w:pPr>
      <w:r>
        <w:rPr>
          <w:b/>
          <w:bCs/>
        </w:rPr>
        <w:t xml:space="preserve">Project Manager: </w:t>
      </w:r>
      <w:r w:rsidR="004000A7" w:rsidRPr="004000A7">
        <w:t>At least Master’s Degree in Finance, Business Administration or another relevant field or professional qualifications supporting his/her senior management position. At least 1</w:t>
      </w:r>
      <w:r w:rsidR="006F25D1">
        <w:t>5</w:t>
      </w:r>
      <w:r w:rsidR="004000A7" w:rsidRPr="004000A7">
        <w:t xml:space="preserve"> years of relevant international experience as a project finance specialist</w:t>
      </w:r>
      <w:r w:rsidR="004000A7">
        <w:t xml:space="preserve">, including experience with public </w:t>
      </w:r>
      <w:r w:rsidR="004000A7">
        <w:lastRenderedPageBreak/>
        <w:t>and private financing of transportation infrastructure projects in Türkiye.</w:t>
      </w:r>
      <w:r w:rsidR="008F5C59">
        <w:t xml:space="preserve"> Experience working with IFIs and ECAs and knowledge of the guarantee and financing products of these entities is required.</w:t>
      </w:r>
    </w:p>
    <w:p w14:paraId="10612B68" w14:textId="2909A968" w:rsidR="000A3CD0" w:rsidRDefault="000A3CD0" w:rsidP="000A3CD0">
      <w:pPr>
        <w:pStyle w:val="ListeParagraf"/>
        <w:numPr>
          <w:ilvl w:val="0"/>
          <w:numId w:val="3"/>
        </w:numPr>
        <w:spacing w:after="120"/>
        <w:ind w:left="360"/>
        <w:contextualSpacing w:val="0"/>
        <w:jc w:val="both"/>
        <w:rPr>
          <w:b/>
          <w:bCs/>
        </w:rPr>
      </w:pPr>
      <w:r>
        <w:rPr>
          <w:b/>
          <w:bCs/>
        </w:rPr>
        <w:t xml:space="preserve">Senior Railway Engineer: </w:t>
      </w:r>
      <w:r w:rsidRPr="000A3CD0">
        <w:t>At least Master’s Degree in civil engineering, transport engineering or another related field. At least 1</w:t>
      </w:r>
      <w:r w:rsidR="006F25D1">
        <w:t>5</w:t>
      </w:r>
      <w:r w:rsidRPr="000A3CD0">
        <w:t xml:space="preserve"> years of relevant experience in railway projects, including feasibility studies, procurement, and project supervision. Experience in the railway sector in Türkiye is required.</w:t>
      </w:r>
    </w:p>
    <w:p w14:paraId="2E139EF3" w14:textId="1D2E365E" w:rsidR="000A3CD0" w:rsidRPr="00AB5540" w:rsidRDefault="000A3CD0" w:rsidP="000A3CD0">
      <w:pPr>
        <w:pStyle w:val="ListeParagraf"/>
        <w:numPr>
          <w:ilvl w:val="0"/>
          <w:numId w:val="3"/>
        </w:numPr>
        <w:spacing w:after="120"/>
        <w:ind w:left="360"/>
        <w:contextualSpacing w:val="0"/>
        <w:jc w:val="both"/>
        <w:rPr>
          <w:b/>
          <w:bCs/>
        </w:rPr>
      </w:pPr>
      <w:r>
        <w:rPr>
          <w:b/>
          <w:bCs/>
        </w:rPr>
        <w:t xml:space="preserve">Senior </w:t>
      </w:r>
      <w:r w:rsidR="004A128C">
        <w:rPr>
          <w:b/>
          <w:bCs/>
        </w:rPr>
        <w:t xml:space="preserve">International </w:t>
      </w:r>
      <w:r>
        <w:rPr>
          <w:b/>
          <w:bCs/>
        </w:rPr>
        <w:t>Legal Specialist</w:t>
      </w:r>
      <w:r w:rsidR="00EB6F58">
        <w:rPr>
          <w:b/>
          <w:bCs/>
        </w:rPr>
        <w:t xml:space="preserve">: </w:t>
      </w:r>
      <w:r w:rsidR="00EB6F58" w:rsidRPr="00EB6F58">
        <w:t>At least Master’s Degree, Juris Doctor or equivalent in Law. At least 1</w:t>
      </w:r>
      <w:r w:rsidR="006F25D1">
        <w:t>5</w:t>
      </w:r>
      <w:r w:rsidR="00EB6F58" w:rsidRPr="00EB6F58">
        <w:t xml:space="preserve"> years of relevant international experience in public led development of </w:t>
      </w:r>
      <w:r w:rsidR="00EB6F58">
        <w:t>railway</w:t>
      </w:r>
      <w:r w:rsidR="00BB19ED">
        <w:t xml:space="preserve"> and/or transport</w:t>
      </w:r>
      <w:r w:rsidR="00EB6F58">
        <w:t xml:space="preserve"> infrastructure </w:t>
      </w:r>
      <w:r w:rsidR="00EB6F58" w:rsidRPr="00EB6F58">
        <w:t xml:space="preserve">projects and project finance for </w:t>
      </w:r>
      <w:r w:rsidR="00BB19ED">
        <w:t xml:space="preserve">railway and/or transportation </w:t>
      </w:r>
      <w:r w:rsidR="00EB6F58" w:rsidRPr="00EB6F58">
        <w:t xml:space="preserve">sector projects, including </w:t>
      </w:r>
      <w:r w:rsidR="00BB19ED">
        <w:t>procurement, contract</w:t>
      </w:r>
      <w:r w:rsidR="00EB6F58" w:rsidRPr="00EB6F58">
        <w:t xml:space="preserve"> negotiation</w:t>
      </w:r>
      <w:r w:rsidR="00BB19ED">
        <w:t xml:space="preserve">, and financing. Experience working with IFIs and ECAs and knowledge of the </w:t>
      </w:r>
      <w:r w:rsidR="00AB5540">
        <w:t>guarantee and financing products of these entities</w:t>
      </w:r>
      <w:r w:rsidR="00BB19ED">
        <w:t xml:space="preserve"> is required.</w:t>
      </w:r>
    </w:p>
    <w:p w14:paraId="7B2D8CD9" w14:textId="77777777" w:rsidR="007376A4" w:rsidRPr="007376A4" w:rsidRDefault="00AB5540" w:rsidP="007376A4">
      <w:pPr>
        <w:pStyle w:val="ListeParagraf"/>
        <w:numPr>
          <w:ilvl w:val="0"/>
          <w:numId w:val="3"/>
        </w:numPr>
        <w:spacing w:after="120"/>
        <w:ind w:left="360"/>
        <w:contextualSpacing w:val="0"/>
        <w:jc w:val="both"/>
        <w:rPr>
          <w:b/>
          <w:bCs/>
        </w:rPr>
      </w:pPr>
      <w:r>
        <w:rPr>
          <w:b/>
          <w:bCs/>
        </w:rPr>
        <w:t xml:space="preserve">Local legal Specialist: </w:t>
      </w:r>
      <w:r w:rsidR="006F25D1" w:rsidRPr="006F25D1">
        <w:t xml:space="preserve">At least Master’s Degree in law and qualifications to practice law in Türkiye. At least </w:t>
      </w:r>
      <w:r w:rsidR="006F25D1">
        <w:t>10</w:t>
      </w:r>
      <w:r w:rsidR="006F25D1" w:rsidRPr="006F25D1">
        <w:t xml:space="preserve"> years of relevant experience in the procurement, contracting and/or financing of transport and railway infrastructure projects in Türkiye, and with demonstrable experience working with local legislation and regulations applicable to such projects.</w:t>
      </w:r>
    </w:p>
    <w:p w14:paraId="124A5262" w14:textId="7D420062" w:rsidR="006F25D1" w:rsidRPr="007376A4" w:rsidRDefault="006F25D1" w:rsidP="007376A4">
      <w:pPr>
        <w:pStyle w:val="ListeParagraf"/>
        <w:numPr>
          <w:ilvl w:val="0"/>
          <w:numId w:val="3"/>
        </w:numPr>
        <w:spacing w:after="120"/>
        <w:ind w:left="360"/>
        <w:contextualSpacing w:val="0"/>
        <w:jc w:val="both"/>
        <w:rPr>
          <w:b/>
          <w:bCs/>
        </w:rPr>
      </w:pPr>
      <w:r w:rsidRPr="007376A4">
        <w:rPr>
          <w:b/>
          <w:bCs/>
        </w:rPr>
        <w:t xml:space="preserve">Procurement specialist: </w:t>
      </w:r>
      <w:r w:rsidR="00151107">
        <w:rPr>
          <w:b/>
          <w:bCs/>
        </w:rPr>
        <w:t xml:space="preserve"> </w:t>
      </w:r>
      <w:r w:rsidR="001748B4" w:rsidRPr="00A001A8">
        <w:rPr>
          <w:rFonts w:eastAsia="Arial" w:cstheme="minorHAnsi"/>
          <w:lang w:eastAsia="tr-TR"/>
        </w:rPr>
        <w:t xml:space="preserve">At least </w:t>
      </w:r>
      <w:r w:rsidR="001748B4">
        <w:rPr>
          <w:rFonts w:eastAsia="Arial" w:cstheme="minorHAnsi"/>
          <w:lang w:eastAsia="tr-TR"/>
        </w:rPr>
        <w:t>Bachelor’s D</w:t>
      </w:r>
      <w:r w:rsidR="001748B4" w:rsidRPr="00A001A8">
        <w:rPr>
          <w:rFonts w:eastAsia="Arial" w:cstheme="minorHAnsi"/>
          <w:lang w:eastAsia="tr-TR"/>
        </w:rPr>
        <w:t>egree in Engineering, Law, Economy, Finance, Business or Commerce</w:t>
      </w:r>
      <w:r w:rsidR="001748B4" w:rsidRPr="00A001A8">
        <w:rPr>
          <w:rFonts w:eastAsia="Arial" w:cstheme="minorHAnsi"/>
          <w:lang w:eastAsia="sq"/>
        </w:rPr>
        <w:t xml:space="preserve"> </w:t>
      </w:r>
      <w:r w:rsidR="001748B4" w:rsidRPr="00A001A8">
        <w:rPr>
          <w:rFonts w:eastAsia="Arial" w:cstheme="minorHAnsi"/>
          <w:lang w:eastAsia="tr-TR"/>
        </w:rPr>
        <w:t>or any other discipline relevant for the scope of the services required.  Advanced degree will be an asset.</w:t>
      </w:r>
      <w:r w:rsidR="001748B4" w:rsidRPr="004E409A">
        <w:rPr>
          <w:rFonts w:ascii="Times New Roman" w:eastAsia="Arial" w:hAnsi="Times New Roman" w:cs="Times New Roman"/>
          <w:lang w:eastAsia="tr-TR"/>
        </w:rPr>
        <w:t xml:space="preserve"> </w:t>
      </w:r>
      <w:r w:rsidR="001748B4" w:rsidRPr="00151107">
        <w:t xml:space="preserve">. Minimum 10 </w:t>
      </w:r>
      <w:r w:rsidR="001748B4">
        <w:t>y</w:t>
      </w:r>
      <w:r w:rsidR="001748B4" w:rsidRPr="00151107">
        <w:t xml:space="preserve">ears of </w:t>
      </w:r>
      <w:r w:rsidR="001748B4">
        <w:t xml:space="preserve">relevant </w:t>
      </w:r>
      <w:r w:rsidR="001748B4" w:rsidRPr="00151107">
        <w:t>experience in</w:t>
      </w:r>
      <w:r w:rsidR="001748B4">
        <w:t xml:space="preserve"> carrying out procurement following international procurement procedures.  This should also include demonstrated experience in having prepared project procurement strategies of large-scale infrastructure contracts under public procurement, PPP, or IFI financing arrangements, preferably in the transport/railways sector. </w:t>
      </w:r>
    </w:p>
    <w:p w14:paraId="50E9406F" w14:textId="435440E4" w:rsidR="00025C98" w:rsidRPr="00512C72" w:rsidRDefault="001663D9" w:rsidP="00025C98">
      <w:pPr>
        <w:pStyle w:val="ListeParagraf"/>
        <w:numPr>
          <w:ilvl w:val="0"/>
          <w:numId w:val="3"/>
        </w:numPr>
        <w:spacing w:after="120"/>
        <w:ind w:left="360"/>
        <w:contextualSpacing w:val="0"/>
        <w:jc w:val="both"/>
        <w:rPr>
          <w:b/>
          <w:bCs/>
        </w:rPr>
      </w:pPr>
      <w:r w:rsidRPr="001663D9">
        <w:rPr>
          <w:b/>
          <w:bCs/>
        </w:rPr>
        <w:t xml:space="preserve">Financial </w:t>
      </w:r>
      <w:r w:rsidR="00025C98">
        <w:rPr>
          <w:b/>
          <w:bCs/>
        </w:rPr>
        <w:t>Specialist</w:t>
      </w:r>
      <w:r w:rsidRPr="001663D9">
        <w:rPr>
          <w:b/>
          <w:bCs/>
        </w:rPr>
        <w:t>:</w:t>
      </w:r>
      <w:r>
        <w:t xml:space="preserve"> </w:t>
      </w:r>
      <w:r w:rsidRPr="001663D9">
        <w:t xml:space="preserve">At least Master’s Degree in Finance, Business Administration or another relevant field or professional qualifications supporting his/her senior management position. At least </w:t>
      </w:r>
      <w:r w:rsidR="006F25D1">
        <w:t>10</w:t>
      </w:r>
      <w:r w:rsidRPr="001663D9">
        <w:t xml:space="preserve"> years of relevant international experience as a </w:t>
      </w:r>
      <w:r w:rsidR="00025C98">
        <w:t xml:space="preserve">financial specialist in the evaluation and financing of transportation projects and previous experience working with projects in Türkiye. </w:t>
      </w:r>
      <w:r w:rsidR="004000A7">
        <w:t xml:space="preserve"> </w:t>
      </w:r>
    </w:p>
    <w:p w14:paraId="33248260" w14:textId="6EB0DB19" w:rsidR="00512C72" w:rsidRPr="00025C98" w:rsidRDefault="00512C72" w:rsidP="00025C98">
      <w:pPr>
        <w:pStyle w:val="ListeParagraf"/>
        <w:numPr>
          <w:ilvl w:val="0"/>
          <w:numId w:val="3"/>
        </w:numPr>
        <w:spacing w:after="120"/>
        <w:ind w:left="360"/>
        <w:contextualSpacing w:val="0"/>
        <w:jc w:val="both"/>
        <w:rPr>
          <w:b/>
          <w:bCs/>
        </w:rPr>
      </w:pPr>
      <w:r>
        <w:rPr>
          <w:b/>
          <w:bCs/>
        </w:rPr>
        <w:t xml:space="preserve">Support Staff: </w:t>
      </w:r>
      <w:r w:rsidR="00386FAB" w:rsidRPr="00386FAB">
        <w:t>Financial analysts, economists, researchers and</w:t>
      </w:r>
      <w:r w:rsidRPr="004007C1">
        <w:t xml:space="preserve"> administrative staff required to coordinate the execution of the assignment, carry out research and </w:t>
      </w:r>
      <w:r w:rsidR="004007C1" w:rsidRPr="004007C1">
        <w:t>help prepare deliverables. All support staff should have advanced degrees in relevant areas.</w:t>
      </w:r>
      <w:r w:rsidR="004007C1">
        <w:rPr>
          <w:b/>
          <w:bCs/>
        </w:rPr>
        <w:t xml:space="preserve"> </w:t>
      </w:r>
    </w:p>
    <w:p w14:paraId="6273C81C" w14:textId="2F8260B1" w:rsidR="004000A7" w:rsidRPr="000A3CD0" w:rsidRDefault="00F41D77" w:rsidP="002E50BD">
      <w:pPr>
        <w:spacing w:after="120"/>
        <w:jc w:val="both"/>
      </w:pPr>
      <w:r w:rsidRPr="00D8028B">
        <w:t xml:space="preserve">The </w:t>
      </w:r>
      <w:r>
        <w:t xml:space="preserve">Consultant </w:t>
      </w:r>
      <w:r w:rsidRPr="00D8028B">
        <w:t>team shall have adequate Turkish language capabilities to fully engage with government agencies</w:t>
      </w:r>
      <w:r w:rsidR="00386FAB">
        <w:t>.</w:t>
      </w:r>
      <w:r>
        <w:t xml:space="preserve"> At the same time, </w:t>
      </w:r>
      <w:r w:rsidR="000A3CD0" w:rsidRPr="000A3CD0">
        <w:t>team members should have sufficient</w:t>
      </w:r>
      <w:r w:rsidR="003D6CB3" w:rsidRPr="000A3CD0">
        <w:t xml:space="preserve"> knowledge of </w:t>
      </w:r>
      <w:r w:rsidR="000A3CD0" w:rsidRPr="000A3CD0">
        <w:t xml:space="preserve">the </w:t>
      </w:r>
      <w:r w:rsidR="003D6CB3" w:rsidRPr="000A3CD0">
        <w:t>English language.</w:t>
      </w:r>
    </w:p>
    <w:p w14:paraId="286890E1" w14:textId="77777777" w:rsidR="005526CB" w:rsidRPr="005526CB" w:rsidRDefault="005526CB" w:rsidP="008F5929">
      <w:pPr>
        <w:spacing w:after="120"/>
        <w:jc w:val="both"/>
        <w:rPr>
          <w:b/>
          <w:bCs/>
        </w:rPr>
      </w:pPr>
      <w:r>
        <w:t xml:space="preserve">In the technical proposal Consultant should specify the level of effort (person-days) to be provided by each of the roles in its proposed team of experts. </w:t>
      </w:r>
    </w:p>
    <w:p w14:paraId="72E97D1B" w14:textId="6976C4AA" w:rsidR="00567D12" w:rsidRPr="00CE0379" w:rsidRDefault="00567D12" w:rsidP="00CE0379">
      <w:pPr>
        <w:jc w:val="both"/>
      </w:pPr>
      <w:r w:rsidRPr="00567D12">
        <w:tab/>
        <w:t> </w:t>
      </w:r>
    </w:p>
    <w:sectPr w:rsidR="00567D12" w:rsidRPr="00CE037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B8674" w14:textId="77777777" w:rsidR="00F472C8" w:rsidRDefault="00F472C8" w:rsidP="00E02898">
      <w:pPr>
        <w:spacing w:after="0" w:line="240" w:lineRule="auto"/>
      </w:pPr>
      <w:r>
        <w:separator/>
      </w:r>
    </w:p>
  </w:endnote>
  <w:endnote w:type="continuationSeparator" w:id="0">
    <w:p w14:paraId="4267744D" w14:textId="77777777" w:rsidR="00F472C8" w:rsidRDefault="00F472C8" w:rsidP="00E02898">
      <w:pPr>
        <w:spacing w:after="0" w:line="240" w:lineRule="auto"/>
      </w:pPr>
      <w:r>
        <w:continuationSeparator/>
      </w:r>
    </w:p>
  </w:endnote>
  <w:endnote w:type="continuationNotice" w:id="1">
    <w:p w14:paraId="205056FB" w14:textId="77777777" w:rsidR="00F472C8" w:rsidRDefault="00F472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057275"/>
      <w:docPartObj>
        <w:docPartGallery w:val="Page Numbers (Bottom of Page)"/>
        <w:docPartUnique/>
      </w:docPartObj>
    </w:sdtPr>
    <w:sdtEndPr>
      <w:rPr>
        <w:noProof/>
      </w:rPr>
    </w:sdtEndPr>
    <w:sdtContent>
      <w:p w14:paraId="3434B612" w14:textId="2EE61D4B" w:rsidR="00E848DD" w:rsidRDefault="00E848DD">
        <w:pPr>
          <w:pStyle w:val="AltBilgi"/>
          <w:jc w:val="center"/>
        </w:pPr>
        <w:r>
          <w:fldChar w:fldCharType="begin"/>
        </w:r>
        <w:r>
          <w:instrText xml:space="preserve"> PAGE   \* MERGEFORMAT </w:instrText>
        </w:r>
        <w:r>
          <w:fldChar w:fldCharType="separate"/>
        </w:r>
        <w:r w:rsidR="00AA6AED">
          <w:rPr>
            <w:noProof/>
          </w:rPr>
          <w:t>2</w:t>
        </w:r>
        <w:r>
          <w:rPr>
            <w:noProof/>
          </w:rPr>
          <w:fldChar w:fldCharType="end"/>
        </w:r>
      </w:p>
    </w:sdtContent>
  </w:sdt>
  <w:p w14:paraId="1E6DF5E7" w14:textId="77777777" w:rsidR="00E848DD" w:rsidRDefault="00E848D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58EB8" w14:textId="77777777" w:rsidR="00F472C8" w:rsidRDefault="00F472C8" w:rsidP="00E02898">
      <w:pPr>
        <w:spacing w:after="0" w:line="240" w:lineRule="auto"/>
      </w:pPr>
      <w:r>
        <w:separator/>
      </w:r>
    </w:p>
  </w:footnote>
  <w:footnote w:type="continuationSeparator" w:id="0">
    <w:p w14:paraId="2D120479" w14:textId="77777777" w:rsidR="00F472C8" w:rsidRDefault="00F472C8" w:rsidP="00E02898">
      <w:pPr>
        <w:spacing w:after="0" w:line="240" w:lineRule="auto"/>
      </w:pPr>
      <w:r>
        <w:continuationSeparator/>
      </w:r>
    </w:p>
  </w:footnote>
  <w:footnote w:type="continuationNotice" w:id="1">
    <w:p w14:paraId="3701E23C" w14:textId="77777777" w:rsidR="00F472C8" w:rsidRDefault="00F472C8">
      <w:pPr>
        <w:spacing w:after="0" w:line="240" w:lineRule="auto"/>
      </w:pPr>
    </w:p>
  </w:footnote>
  <w:footnote w:id="2">
    <w:p w14:paraId="615F6A21" w14:textId="1CCD4143" w:rsidR="00E02898" w:rsidRDefault="00E02898">
      <w:pPr>
        <w:pStyle w:val="DipnotMetni"/>
      </w:pPr>
      <w:r>
        <w:rPr>
          <w:rStyle w:val="DipnotBavurusu"/>
        </w:rPr>
        <w:footnoteRef/>
      </w:r>
      <w:r>
        <w:t xml:space="preserve"> World Bank (2019), </w:t>
      </w:r>
      <w:hyperlink r:id="rId1" w:history="1">
        <w:r w:rsidRPr="00E02898">
          <w:rPr>
            <w:rStyle w:val="Kpr"/>
            <w:i/>
            <w:iCs/>
          </w:rPr>
          <w:t>Firm Productivity and Economic Growth in Türkiye</w:t>
        </w:r>
      </w:hyperlink>
      <w:r>
        <w:t>, Türkiye Productivity Report 2019.</w:t>
      </w:r>
    </w:p>
  </w:footnote>
  <w:footnote w:id="3">
    <w:p w14:paraId="5991CA6C" w14:textId="7DF2426F" w:rsidR="00E473E6" w:rsidRDefault="00E473E6">
      <w:pPr>
        <w:pStyle w:val="DipnotMetni"/>
      </w:pPr>
      <w:r>
        <w:rPr>
          <w:rStyle w:val="DipnotBavurusu"/>
        </w:rPr>
        <w:footnoteRef/>
      </w:r>
      <w:r>
        <w:t xml:space="preserve"> Republic of </w:t>
      </w:r>
      <w:r w:rsidRPr="00FF644A">
        <w:t xml:space="preserve">Türkiye, Ministry of Transport and Infrastructure (2022), </w:t>
      </w:r>
      <w:hyperlink r:id="rId2" w:history="1">
        <w:r w:rsidRPr="00276AB0">
          <w:rPr>
            <w:rStyle w:val="Kpr"/>
            <w:i/>
            <w:iCs/>
            <w:color w:val="0563C1"/>
          </w:rPr>
          <w:t>Transport and Logistics Masterplan 2053</w:t>
        </w:r>
      </w:hyperlink>
      <w:r w:rsidRPr="0028107D">
        <w:rPr>
          <w:rStyle w:val="Kpr"/>
          <w:iCs/>
        </w:rPr>
        <w:t>.</w:t>
      </w:r>
    </w:p>
  </w:footnote>
  <w:footnote w:id="4">
    <w:p w14:paraId="6A82112E" w14:textId="77777777" w:rsidR="00DE1C5A" w:rsidRDefault="00DE1C5A" w:rsidP="00DE1C5A">
      <w:pPr>
        <w:pStyle w:val="DipnotMetni"/>
      </w:pPr>
      <w:r>
        <w:rPr>
          <w:rStyle w:val="DipnotBavurusu"/>
        </w:rPr>
        <w:footnoteRef/>
      </w:r>
      <w:r>
        <w:t xml:space="preserve"> </w:t>
      </w:r>
      <w:hyperlink r:id="rId3" w:history="1">
        <w:r w:rsidRPr="009D275D">
          <w:rPr>
            <w:rStyle w:val="Kpr"/>
          </w:rPr>
          <w:t>https://thedocs.worldbank.org/en/doc/ae0f8a5bf130bce9c3bf23f088a6c3a9-0290012024/original/PPSD-Procurement-Guidance-FINAL-Aug-24-WEB.pdf</w:t>
        </w:r>
      </w:hyperlink>
    </w:p>
    <w:p w14:paraId="1AD9FC1D" w14:textId="77777777" w:rsidR="00DE1C5A" w:rsidRDefault="00F472C8" w:rsidP="00DE1C5A">
      <w:pPr>
        <w:pStyle w:val="DipnotMetni"/>
      </w:pPr>
      <w:hyperlink r:id="rId4" w:history="1">
        <w:r w:rsidR="00DE1C5A" w:rsidRPr="009D275D">
          <w:rPr>
            <w:rStyle w:val="Kpr"/>
          </w:rPr>
          <w:t>https://thedocs.worldbank.org/en/doc/123601488224013672-0290022017/original/ProcurementPPSDShortFormFeb2017.pdf</w:t>
        </w:r>
      </w:hyperlink>
    </w:p>
    <w:p w14:paraId="37A99550" w14:textId="77777777" w:rsidR="00DE1C5A" w:rsidRDefault="00DE1C5A" w:rsidP="00DE1C5A">
      <w:pPr>
        <w:pStyle w:val="DipnotMetni"/>
      </w:pPr>
    </w:p>
  </w:footnote>
  <w:footnote w:id="5">
    <w:p w14:paraId="494BE4F2" w14:textId="77777777" w:rsidR="004953BC" w:rsidRDefault="004953BC" w:rsidP="004953BC">
      <w:pPr>
        <w:pStyle w:val="DipnotMetni"/>
      </w:pPr>
      <w:r>
        <w:rPr>
          <w:rStyle w:val="DipnotBavurusu"/>
        </w:rPr>
        <w:footnoteRef/>
      </w:r>
      <w:r>
        <w:t xml:space="preserve"> </w:t>
      </w:r>
      <w:r w:rsidRPr="008649FA">
        <w:rPr>
          <w:sz w:val="18"/>
          <w:szCs w:val="18"/>
        </w:rPr>
        <w:t>https://projects.worldbank.org/en/projects-operations/products-and-services/brief/rated-criteria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CD488" w14:textId="77777777" w:rsidR="007579B7" w:rsidRDefault="00D50480" w:rsidP="007579B7">
    <w:pPr>
      <w:pStyle w:val="stBilgi"/>
      <w:jc w:val="right"/>
      <w:rPr>
        <w:color w:val="FF0000"/>
      </w:rPr>
    </w:pPr>
    <w:r w:rsidRPr="00D50480">
      <w:rPr>
        <w:color w:val="FF0000"/>
      </w:rPr>
      <w:t>DRAFT</w:t>
    </w:r>
  </w:p>
  <w:p w14:paraId="07AEA179" w14:textId="2CDD323B" w:rsidR="007579B7" w:rsidRPr="007579B7" w:rsidRDefault="007579B7" w:rsidP="007579B7">
    <w:pPr>
      <w:pStyle w:val="stBilgi"/>
      <w:rPr>
        <w:color w:val="FF0000"/>
      </w:rPr>
    </w:pPr>
    <w:r w:rsidRPr="004546D5">
      <w:rPr>
        <w:rFonts w:ascii="Aptos" w:hAnsi="Aptos"/>
        <w:sz w:val="20"/>
        <w:szCs w:val="20"/>
      </w:rPr>
      <w:t>Istanbul North Rail Crossing Project (INRAIL)</w:t>
    </w:r>
  </w:p>
  <w:p w14:paraId="053E6495" w14:textId="79A54F11" w:rsidR="00D50480" w:rsidRPr="00D50480" w:rsidRDefault="00D50480" w:rsidP="007579B7">
    <w:pPr>
      <w:pStyle w:val="stBilgi"/>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7E1"/>
    <w:multiLevelType w:val="hybridMultilevel"/>
    <w:tmpl w:val="07244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C1A6F"/>
    <w:multiLevelType w:val="hybridMultilevel"/>
    <w:tmpl w:val="844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581B"/>
    <w:multiLevelType w:val="hybridMultilevel"/>
    <w:tmpl w:val="BBF8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074BE"/>
    <w:multiLevelType w:val="hybridMultilevel"/>
    <w:tmpl w:val="FABA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410E8"/>
    <w:multiLevelType w:val="hybridMultilevel"/>
    <w:tmpl w:val="6BC62D58"/>
    <w:lvl w:ilvl="0" w:tplc="04090019">
      <w:start w:val="1"/>
      <w:numFmt w:val="lowerLetter"/>
      <w:lvlText w:val="%1."/>
      <w:lvlJc w:val="left"/>
      <w:pPr>
        <w:ind w:left="720" w:hanging="360"/>
      </w:pPr>
      <w:rPr>
        <w:rFonts w:hint="default"/>
      </w:rPr>
    </w:lvl>
    <w:lvl w:ilvl="1" w:tplc="F47862A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7291D"/>
    <w:multiLevelType w:val="hybridMultilevel"/>
    <w:tmpl w:val="FF50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6359F"/>
    <w:multiLevelType w:val="hybridMultilevel"/>
    <w:tmpl w:val="79BEE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74DE0"/>
    <w:multiLevelType w:val="hybridMultilevel"/>
    <w:tmpl w:val="A648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C5519"/>
    <w:multiLevelType w:val="hybridMultilevel"/>
    <w:tmpl w:val="127A1048"/>
    <w:lvl w:ilvl="0" w:tplc="FFFFFFFF">
      <w:start w:val="1"/>
      <w:numFmt w:val="lowerLetter"/>
      <w:lvlText w:val="%1)"/>
      <w:lvlJc w:val="left"/>
      <w:pPr>
        <w:ind w:left="720" w:hanging="360"/>
      </w:pPr>
    </w:lvl>
    <w:lvl w:ilvl="1" w:tplc="04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AF60A4"/>
    <w:multiLevelType w:val="hybridMultilevel"/>
    <w:tmpl w:val="E0245B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44890"/>
    <w:multiLevelType w:val="hybridMultilevel"/>
    <w:tmpl w:val="F930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682B81"/>
    <w:multiLevelType w:val="hybridMultilevel"/>
    <w:tmpl w:val="37F04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6360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F76E4F"/>
    <w:multiLevelType w:val="hybridMultilevel"/>
    <w:tmpl w:val="378C59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91707F"/>
    <w:multiLevelType w:val="hybridMultilevel"/>
    <w:tmpl w:val="2884C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67AA3"/>
    <w:multiLevelType w:val="hybridMultilevel"/>
    <w:tmpl w:val="030646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AA7FF4"/>
    <w:multiLevelType w:val="hybridMultilevel"/>
    <w:tmpl w:val="1A429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EF6F64"/>
    <w:multiLevelType w:val="hybridMultilevel"/>
    <w:tmpl w:val="2C92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180C11"/>
    <w:multiLevelType w:val="hybridMultilevel"/>
    <w:tmpl w:val="4746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5"/>
  </w:num>
  <w:num w:numId="4">
    <w:abstractNumId w:val="6"/>
  </w:num>
  <w:num w:numId="5">
    <w:abstractNumId w:val="5"/>
  </w:num>
  <w:num w:numId="6">
    <w:abstractNumId w:val="1"/>
  </w:num>
  <w:num w:numId="7">
    <w:abstractNumId w:val="12"/>
  </w:num>
  <w:num w:numId="8">
    <w:abstractNumId w:val="14"/>
  </w:num>
  <w:num w:numId="9">
    <w:abstractNumId w:val="0"/>
  </w:num>
  <w:num w:numId="10">
    <w:abstractNumId w:val="18"/>
  </w:num>
  <w:num w:numId="11">
    <w:abstractNumId w:val="7"/>
  </w:num>
  <w:num w:numId="12">
    <w:abstractNumId w:val="17"/>
  </w:num>
  <w:num w:numId="13">
    <w:abstractNumId w:val="11"/>
  </w:num>
  <w:num w:numId="14">
    <w:abstractNumId w:val="3"/>
  </w:num>
  <w:num w:numId="15">
    <w:abstractNumId w:val="2"/>
  </w:num>
  <w:num w:numId="16">
    <w:abstractNumId w:val="10"/>
  </w:num>
  <w:num w:numId="17">
    <w:abstractNumId w:val="13"/>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15"/>
    <w:rsid w:val="0001028D"/>
    <w:rsid w:val="00014869"/>
    <w:rsid w:val="00014DCF"/>
    <w:rsid w:val="00025C98"/>
    <w:rsid w:val="00027D1B"/>
    <w:rsid w:val="00031DCE"/>
    <w:rsid w:val="000371BB"/>
    <w:rsid w:val="000376F0"/>
    <w:rsid w:val="00041436"/>
    <w:rsid w:val="000524F6"/>
    <w:rsid w:val="00055005"/>
    <w:rsid w:val="00056BDE"/>
    <w:rsid w:val="00064F60"/>
    <w:rsid w:val="00074773"/>
    <w:rsid w:val="000915EE"/>
    <w:rsid w:val="0009663F"/>
    <w:rsid w:val="000A0DAB"/>
    <w:rsid w:val="000A21CC"/>
    <w:rsid w:val="000A3CD0"/>
    <w:rsid w:val="000A68FC"/>
    <w:rsid w:val="000B62F7"/>
    <w:rsid w:val="000C61C3"/>
    <w:rsid w:val="000C7D43"/>
    <w:rsid w:val="000D1173"/>
    <w:rsid w:val="000D188A"/>
    <w:rsid w:val="000D7761"/>
    <w:rsid w:val="000F689E"/>
    <w:rsid w:val="000F696C"/>
    <w:rsid w:val="000F780D"/>
    <w:rsid w:val="00101829"/>
    <w:rsid w:val="00102BE3"/>
    <w:rsid w:val="0011666E"/>
    <w:rsid w:val="00131099"/>
    <w:rsid w:val="00140511"/>
    <w:rsid w:val="0014058C"/>
    <w:rsid w:val="00144749"/>
    <w:rsid w:val="00144F20"/>
    <w:rsid w:val="001452E3"/>
    <w:rsid w:val="00150CF8"/>
    <w:rsid w:val="00151107"/>
    <w:rsid w:val="001519D7"/>
    <w:rsid w:val="00152310"/>
    <w:rsid w:val="001528A0"/>
    <w:rsid w:val="00157B36"/>
    <w:rsid w:val="001605A5"/>
    <w:rsid w:val="00163576"/>
    <w:rsid w:val="00165D43"/>
    <w:rsid w:val="001663D9"/>
    <w:rsid w:val="001748B4"/>
    <w:rsid w:val="00175BB5"/>
    <w:rsid w:val="001774C7"/>
    <w:rsid w:val="001802BB"/>
    <w:rsid w:val="001834A2"/>
    <w:rsid w:val="001931CF"/>
    <w:rsid w:val="001963E1"/>
    <w:rsid w:val="001A0072"/>
    <w:rsid w:val="001A14B0"/>
    <w:rsid w:val="001B0A79"/>
    <w:rsid w:val="001B2F9C"/>
    <w:rsid w:val="001C0ECA"/>
    <w:rsid w:val="001C30DE"/>
    <w:rsid w:val="001C68C2"/>
    <w:rsid w:val="001C6F88"/>
    <w:rsid w:val="001C7B0E"/>
    <w:rsid w:val="001D4A60"/>
    <w:rsid w:val="001D4E18"/>
    <w:rsid w:val="001F0757"/>
    <w:rsid w:val="00201842"/>
    <w:rsid w:val="00205291"/>
    <w:rsid w:val="0021617D"/>
    <w:rsid w:val="002260DD"/>
    <w:rsid w:val="00241847"/>
    <w:rsid w:val="002423E2"/>
    <w:rsid w:val="002514C6"/>
    <w:rsid w:val="00257474"/>
    <w:rsid w:val="00282828"/>
    <w:rsid w:val="00287EA9"/>
    <w:rsid w:val="00290C09"/>
    <w:rsid w:val="00295057"/>
    <w:rsid w:val="002A406A"/>
    <w:rsid w:val="002A5FCC"/>
    <w:rsid w:val="002A7DA6"/>
    <w:rsid w:val="002B1B33"/>
    <w:rsid w:val="002B2515"/>
    <w:rsid w:val="002B3662"/>
    <w:rsid w:val="002B6E98"/>
    <w:rsid w:val="002C1EA0"/>
    <w:rsid w:val="002C6C64"/>
    <w:rsid w:val="002D5887"/>
    <w:rsid w:val="002D634F"/>
    <w:rsid w:val="002E50BD"/>
    <w:rsid w:val="002E5FD2"/>
    <w:rsid w:val="002E702F"/>
    <w:rsid w:val="002F0648"/>
    <w:rsid w:val="002F6F50"/>
    <w:rsid w:val="002F7556"/>
    <w:rsid w:val="002F7D35"/>
    <w:rsid w:val="00305E9E"/>
    <w:rsid w:val="00311271"/>
    <w:rsid w:val="003136A4"/>
    <w:rsid w:val="003170DA"/>
    <w:rsid w:val="003177D9"/>
    <w:rsid w:val="003207C5"/>
    <w:rsid w:val="00322454"/>
    <w:rsid w:val="003305C3"/>
    <w:rsid w:val="00332881"/>
    <w:rsid w:val="00332DD2"/>
    <w:rsid w:val="00334B27"/>
    <w:rsid w:val="0034655F"/>
    <w:rsid w:val="00355002"/>
    <w:rsid w:val="003609BE"/>
    <w:rsid w:val="003651B2"/>
    <w:rsid w:val="00371421"/>
    <w:rsid w:val="00374A53"/>
    <w:rsid w:val="00376D75"/>
    <w:rsid w:val="00380EB3"/>
    <w:rsid w:val="00382231"/>
    <w:rsid w:val="0038236D"/>
    <w:rsid w:val="003858C7"/>
    <w:rsid w:val="0038660F"/>
    <w:rsid w:val="00386FAB"/>
    <w:rsid w:val="0038769D"/>
    <w:rsid w:val="0039311C"/>
    <w:rsid w:val="00394051"/>
    <w:rsid w:val="0039652D"/>
    <w:rsid w:val="003A1AF4"/>
    <w:rsid w:val="003A26DB"/>
    <w:rsid w:val="003A33E4"/>
    <w:rsid w:val="003A4C6C"/>
    <w:rsid w:val="003A6AD5"/>
    <w:rsid w:val="003B3D8E"/>
    <w:rsid w:val="003C1E52"/>
    <w:rsid w:val="003C312B"/>
    <w:rsid w:val="003D12FA"/>
    <w:rsid w:val="003D5190"/>
    <w:rsid w:val="003D6CB3"/>
    <w:rsid w:val="003E082B"/>
    <w:rsid w:val="003F0F61"/>
    <w:rsid w:val="003F237E"/>
    <w:rsid w:val="004000A7"/>
    <w:rsid w:val="004007C1"/>
    <w:rsid w:val="00401645"/>
    <w:rsid w:val="00404C97"/>
    <w:rsid w:val="00414A5F"/>
    <w:rsid w:val="004310E6"/>
    <w:rsid w:val="00434BF0"/>
    <w:rsid w:val="00444A7D"/>
    <w:rsid w:val="00444B1C"/>
    <w:rsid w:val="00446715"/>
    <w:rsid w:val="00452EBB"/>
    <w:rsid w:val="0045662F"/>
    <w:rsid w:val="00460ED9"/>
    <w:rsid w:val="004650F2"/>
    <w:rsid w:val="00470900"/>
    <w:rsid w:val="00477574"/>
    <w:rsid w:val="00484307"/>
    <w:rsid w:val="004907F4"/>
    <w:rsid w:val="004953BC"/>
    <w:rsid w:val="004A128C"/>
    <w:rsid w:val="004B6FE0"/>
    <w:rsid w:val="004C079B"/>
    <w:rsid w:val="004C1B20"/>
    <w:rsid w:val="004C3DA8"/>
    <w:rsid w:val="004D4DCD"/>
    <w:rsid w:val="004E2A9D"/>
    <w:rsid w:val="004E5205"/>
    <w:rsid w:val="004E6912"/>
    <w:rsid w:val="004F03E0"/>
    <w:rsid w:val="004F1201"/>
    <w:rsid w:val="004F559C"/>
    <w:rsid w:val="00503EDA"/>
    <w:rsid w:val="00505D5C"/>
    <w:rsid w:val="00512C72"/>
    <w:rsid w:val="00517CB0"/>
    <w:rsid w:val="0052106B"/>
    <w:rsid w:val="005273B8"/>
    <w:rsid w:val="0054443A"/>
    <w:rsid w:val="00545E15"/>
    <w:rsid w:val="005526CB"/>
    <w:rsid w:val="0055636C"/>
    <w:rsid w:val="00556598"/>
    <w:rsid w:val="005644C5"/>
    <w:rsid w:val="00567D12"/>
    <w:rsid w:val="0057009B"/>
    <w:rsid w:val="0057038E"/>
    <w:rsid w:val="00572DEF"/>
    <w:rsid w:val="005905FA"/>
    <w:rsid w:val="005A4408"/>
    <w:rsid w:val="005B45F3"/>
    <w:rsid w:val="005C5CB2"/>
    <w:rsid w:val="005C6388"/>
    <w:rsid w:val="005D2B6B"/>
    <w:rsid w:val="005E0BDB"/>
    <w:rsid w:val="005E13D1"/>
    <w:rsid w:val="005E3D0C"/>
    <w:rsid w:val="005E720C"/>
    <w:rsid w:val="005F280F"/>
    <w:rsid w:val="005F62C7"/>
    <w:rsid w:val="005F6DB9"/>
    <w:rsid w:val="006135AF"/>
    <w:rsid w:val="00616C5C"/>
    <w:rsid w:val="00624EBD"/>
    <w:rsid w:val="00634906"/>
    <w:rsid w:val="006349D7"/>
    <w:rsid w:val="00636100"/>
    <w:rsid w:val="0063720A"/>
    <w:rsid w:val="00654706"/>
    <w:rsid w:val="006576DB"/>
    <w:rsid w:val="0066149F"/>
    <w:rsid w:val="006620AE"/>
    <w:rsid w:val="00671F6C"/>
    <w:rsid w:val="006758A7"/>
    <w:rsid w:val="006914BF"/>
    <w:rsid w:val="006975C8"/>
    <w:rsid w:val="00697F80"/>
    <w:rsid w:val="006B055E"/>
    <w:rsid w:val="006B1497"/>
    <w:rsid w:val="006B3DFB"/>
    <w:rsid w:val="006D2244"/>
    <w:rsid w:val="006D3D41"/>
    <w:rsid w:val="006E542C"/>
    <w:rsid w:val="006F25D1"/>
    <w:rsid w:val="006F2F5D"/>
    <w:rsid w:val="00704B6D"/>
    <w:rsid w:val="0070705C"/>
    <w:rsid w:val="007115C1"/>
    <w:rsid w:val="00714975"/>
    <w:rsid w:val="007306E5"/>
    <w:rsid w:val="007376A4"/>
    <w:rsid w:val="00746BE2"/>
    <w:rsid w:val="00746F63"/>
    <w:rsid w:val="0075143E"/>
    <w:rsid w:val="007538FD"/>
    <w:rsid w:val="00756FF1"/>
    <w:rsid w:val="007579B7"/>
    <w:rsid w:val="007616F8"/>
    <w:rsid w:val="0076480E"/>
    <w:rsid w:val="00770E40"/>
    <w:rsid w:val="00771102"/>
    <w:rsid w:val="0077322D"/>
    <w:rsid w:val="00775769"/>
    <w:rsid w:val="00775AD7"/>
    <w:rsid w:val="00777EBE"/>
    <w:rsid w:val="00784A43"/>
    <w:rsid w:val="00792293"/>
    <w:rsid w:val="007A0A58"/>
    <w:rsid w:val="007A2A4D"/>
    <w:rsid w:val="007A4F3F"/>
    <w:rsid w:val="007B3FDE"/>
    <w:rsid w:val="007C6406"/>
    <w:rsid w:val="007D5869"/>
    <w:rsid w:val="007E14A3"/>
    <w:rsid w:val="007E3CB2"/>
    <w:rsid w:val="007F0A42"/>
    <w:rsid w:val="007F2D4C"/>
    <w:rsid w:val="007F56B0"/>
    <w:rsid w:val="00804B01"/>
    <w:rsid w:val="00811C39"/>
    <w:rsid w:val="00813DB1"/>
    <w:rsid w:val="00816E69"/>
    <w:rsid w:val="00832978"/>
    <w:rsid w:val="00840019"/>
    <w:rsid w:val="00840B5E"/>
    <w:rsid w:val="00842E9B"/>
    <w:rsid w:val="008461E2"/>
    <w:rsid w:val="0085456D"/>
    <w:rsid w:val="008572BE"/>
    <w:rsid w:val="008600DA"/>
    <w:rsid w:val="00871DC3"/>
    <w:rsid w:val="00877A15"/>
    <w:rsid w:val="00885868"/>
    <w:rsid w:val="008A4A23"/>
    <w:rsid w:val="008B10F7"/>
    <w:rsid w:val="008B3F26"/>
    <w:rsid w:val="008B459E"/>
    <w:rsid w:val="008B6A19"/>
    <w:rsid w:val="008C3C84"/>
    <w:rsid w:val="008C4F21"/>
    <w:rsid w:val="008C57EB"/>
    <w:rsid w:val="008E05CE"/>
    <w:rsid w:val="008E2AC5"/>
    <w:rsid w:val="008E5F8B"/>
    <w:rsid w:val="008F1C75"/>
    <w:rsid w:val="008F2F0C"/>
    <w:rsid w:val="008F3417"/>
    <w:rsid w:val="008F45A2"/>
    <w:rsid w:val="008F51B7"/>
    <w:rsid w:val="008F5929"/>
    <w:rsid w:val="008F5C59"/>
    <w:rsid w:val="0090212D"/>
    <w:rsid w:val="00904DD1"/>
    <w:rsid w:val="00907C15"/>
    <w:rsid w:val="00921B87"/>
    <w:rsid w:val="00924BF4"/>
    <w:rsid w:val="0093017C"/>
    <w:rsid w:val="00930DBA"/>
    <w:rsid w:val="00935A5E"/>
    <w:rsid w:val="0093643A"/>
    <w:rsid w:val="00943BC4"/>
    <w:rsid w:val="00945BBB"/>
    <w:rsid w:val="00950F08"/>
    <w:rsid w:val="009544ED"/>
    <w:rsid w:val="0095747F"/>
    <w:rsid w:val="00957D03"/>
    <w:rsid w:val="009618BA"/>
    <w:rsid w:val="00962B67"/>
    <w:rsid w:val="00966857"/>
    <w:rsid w:val="00981B96"/>
    <w:rsid w:val="00987AA8"/>
    <w:rsid w:val="00995619"/>
    <w:rsid w:val="009A3E3E"/>
    <w:rsid w:val="009A5DBF"/>
    <w:rsid w:val="009B0990"/>
    <w:rsid w:val="009C5C79"/>
    <w:rsid w:val="009C7058"/>
    <w:rsid w:val="009E085B"/>
    <w:rsid w:val="009F2937"/>
    <w:rsid w:val="009F511F"/>
    <w:rsid w:val="009F79C6"/>
    <w:rsid w:val="009F7ED4"/>
    <w:rsid w:val="00A03731"/>
    <w:rsid w:val="00A132EA"/>
    <w:rsid w:val="00A148B3"/>
    <w:rsid w:val="00A21465"/>
    <w:rsid w:val="00A556BC"/>
    <w:rsid w:val="00A56925"/>
    <w:rsid w:val="00A57F4E"/>
    <w:rsid w:val="00A62EA6"/>
    <w:rsid w:val="00A633F2"/>
    <w:rsid w:val="00A64225"/>
    <w:rsid w:val="00A75428"/>
    <w:rsid w:val="00A76150"/>
    <w:rsid w:val="00A94212"/>
    <w:rsid w:val="00A9429F"/>
    <w:rsid w:val="00A955E5"/>
    <w:rsid w:val="00A979C7"/>
    <w:rsid w:val="00A97F09"/>
    <w:rsid w:val="00AA35FE"/>
    <w:rsid w:val="00AA6AED"/>
    <w:rsid w:val="00AB5540"/>
    <w:rsid w:val="00AB7355"/>
    <w:rsid w:val="00AB7B63"/>
    <w:rsid w:val="00AC026A"/>
    <w:rsid w:val="00AD00C3"/>
    <w:rsid w:val="00AD4B2C"/>
    <w:rsid w:val="00AD73BD"/>
    <w:rsid w:val="00AD74E0"/>
    <w:rsid w:val="00AE0BEB"/>
    <w:rsid w:val="00AF08E2"/>
    <w:rsid w:val="00AF0BAE"/>
    <w:rsid w:val="00AF44A8"/>
    <w:rsid w:val="00B011A4"/>
    <w:rsid w:val="00B22446"/>
    <w:rsid w:val="00B2322F"/>
    <w:rsid w:val="00B24A88"/>
    <w:rsid w:val="00B341A4"/>
    <w:rsid w:val="00B42A44"/>
    <w:rsid w:val="00B44175"/>
    <w:rsid w:val="00B44888"/>
    <w:rsid w:val="00B50C52"/>
    <w:rsid w:val="00B511C6"/>
    <w:rsid w:val="00B70499"/>
    <w:rsid w:val="00B772E5"/>
    <w:rsid w:val="00B772FF"/>
    <w:rsid w:val="00B77F39"/>
    <w:rsid w:val="00B84531"/>
    <w:rsid w:val="00B86F5E"/>
    <w:rsid w:val="00B90234"/>
    <w:rsid w:val="00B91718"/>
    <w:rsid w:val="00B941FE"/>
    <w:rsid w:val="00BA0D7A"/>
    <w:rsid w:val="00BA32D3"/>
    <w:rsid w:val="00BA471D"/>
    <w:rsid w:val="00BA47DD"/>
    <w:rsid w:val="00BB05C7"/>
    <w:rsid w:val="00BB19ED"/>
    <w:rsid w:val="00BC3FCB"/>
    <w:rsid w:val="00BE3A81"/>
    <w:rsid w:val="00BE4344"/>
    <w:rsid w:val="00BE63EC"/>
    <w:rsid w:val="00BF0050"/>
    <w:rsid w:val="00BF143D"/>
    <w:rsid w:val="00BF3410"/>
    <w:rsid w:val="00BF500C"/>
    <w:rsid w:val="00BF62C9"/>
    <w:rsid w:val="00C02362"/>
    <w:rsid w:val="00C07D0E"/>
    <w:rsid w:val="00C07F24"/>
    <w:rsid w:val="00C12863"/>
    <w:rsid w:val="00C12980"/>
    <w:rsid w:val="00C13A7D"/>
    <w:rsid w:val="00C174C2"/>
    <w:rsid w:val="00C208EF"/>
    <w:rsid w:val="00C21B0A"/>
    <w:rsid w:val="00C225C9"/>
    <w:rsid w:val="00C22D2F"/>
    <w:rsid w:val="00C26A80"/>
    <w:rsid w:val="00C34240"/>
    <w:rsid w:val="00C365A2"/>
    <w:rsid w:val="00C4775F"/>
    <w:rsid w:val="00C5720F"/>
    <w:rsid w:val="00C57B32"/>
    <w:rsid w:val="00C65ECF"/>
    <w:rsid w:val="00C71156"/>
    <w:rsid w:val="00C728EE"/>
    <w:rsid w:val="00C75ACA"/>
    <w:rsid w:val="00C826DB"/>
    <w:rsid w:val="00C85692"/>
    <w:rsid w:val="00C91D6E"/>
    <w:rsid w:val="00C91F4B"/>
    <w:rsid w:val="00C97601"/>
    <w:rsid w:val="00CA70E7"/>
    <w:rsid w:val="00CB4693"/>
    <w:rsid w:val="00CB48A6"/>
    <w:rsid w:val="00CB60F9"/>
    <w:rsid w:val="00CB76D2"/>
    <w:rsid w:val="00CC1E25"/>
    <w:rsid w:val="00CC663D"/>
    <w:rsid w:val="00CD004C"/>
    <w:rsid w:val="00CD16CD"/>
    <w:rsid w:val="00CD3EC8"/>
    <w:rsid w:val="00CE0379"/>
    <w:rsid w:val="00CE1966"/>
    <w:rsid w:val="00CE50A3"/>
    <w:rsid w:val="00CF00E9"/>
    <w:rsid w:val="00CF7F37"/>
    <w:rsid w:val="00D11DDB"/>
    <w:rsid w:val="00D14BEA"/>
    <w:rsid w:val="00D16D55"/>
    <w:rsid w:val="00D2096C"/>
    <w:rsid w:val="00D236F2"/>
    <w:rsid w:val="00D274A2"/>
    <w:rsid w:val="00D279DD"/>
    <w:rsid w:val="00D31759"/>
    <w:rsid w:val="00D44A7E"/>
    <w:rsid w:val="00D44BB2"/>
    <w:rsid w:val="00D50480"/>
    <w:rsid w:val="00D64ECF"/>
    <w:rsid w:val="00D66A27"/>
    <w:rsid w:val="00D748AF"/>
    <w:rsid w:val="00D75086"/>
    <w:rsid w:val="00D77209"/>
    <w:rsid w:val="00D77FED"/>
    <w:rsid w:val="00D8028B"/>
    <w:rsid w:val="00D80F3B"/>
    <w:rsid w:val="00D833E0"/>
    <w:rsid w:val="00DA0416"/>
    <w:rsid w:val="00DA188D"/>
    <w:rsid w:val="00DB01E2"/>
    <w:rsid w:val="00DB5B19"/>
    <w:rsid w:val="00DB649E"/>
    <w:rsid w:val="00DC0F08"/>
    <w:rsid w:val="00DC7319"/>
    <w:rsid w:val="00DE1192"/>
    <w:rsid w:val="00DE1C5A"/>
    <w:rsid w:val="00DE3226"/>
    <w:rsid w:val="00DE5A77"/>
    <w:rsid w:val="00DE73D4"/>
    <w:rsid w:val="00DF3753"/>
    <w:rsid w:val="00DF7B11"/>
    <w:rsid w:val="00E01403"/>
    <w:rsid w:val="00E02898"/>
    <w:rsid w:val="00E068FC"/>
    <w:rsid w:val="00E076C7"/>
    <w:rsid w:val="00E1187B"/>
    <w:rsid w:val="00E12F80"/>
    <w:rsid w:val="00E303A9"/>
    <w:rsid w:val="00E30DB5"/>
    <w:rsid w:val="00E32327"/>
    <w:rsid w:val="00E33923"/>
    <w:rsid w:val="00E42632"/>
    <w:rsid w:val="00E473E6"/>
    <w:rsid w:val="00E50C11"/>
    <w:rsid w:val="00E658B7"/>
    <w:rsid w:val="00E6765B"/>
    <w:rsid w:val="00E71B60"/>
    <w:rsid w:val="00E720FA"/>
    <w:rsid w:val="00E80EA8"/>
    <w:rsid w:val="00E81ECF"/>
    <w:rsid w:val="00E848DD"/>
    <w:rsid w:val="00E92EDA"/>
    <w:rsid w:val="00E95973"/>
    <w:rsid w:val="00E96C0A"/>
    <w:rsid w:val="00EA2933"/>
    <w:rsid w:val="00EB3CE5"/>
    <w:rsid w:val="00EB55F6"/>
    <w:rsid w:val="00EB6F58"/>
    <w:rsid w:val="00EC111D"/>
    <w:rsid w:val="00EC6873"/>
    <w:rsid w:val="00ED39DE"/>
    <w:rsid w:val="00EE2F9C"/>
    <w:rsid w:val="00EF0079"/>
    <w:rsid w:val="00F03D6A"/>
    <w:rsid w:val="00F10CD1"/>
    <w:rsid w:val="00F14C47"/>
    <w:rsid w:val="00F2407C"/>
    <w:rsid w:val="00F35643"/>
    <w:rsid w:val="00F37C48"/>
    <w:rsid w:val="00F41D77"/>
    <w:rsid w:val="00F41DC6"/>
    <w:rsid w:val="00F425A0"/>
    <w:rsid w:val="00F429BE"/>
    <w:rsid w:val="00F472C8"/>
    <w:rsid w:val="00F51336"/>
    <w:rsid w:val="00F55D20"/>
    <w:rsid w:val="00F56C56"/>
    <w:rsid w:val="00F653A7"/>
    <w:rsid w:val="00F779F5"/>
    <w:rsid w:val="00F90E75"/>
    <w:rsid w:val="00F92A74"/>
    <w:rsid w:val="00F95D69"/>
    <w:rsid w:val="00FA0D3E"/>
    <w:rsid w:val="00FB5304"/>
    <w:rsid w:val="00FB5AE5"/>
    <w:rsid w:val="00FB6701"/>
    <w:rsid w:val="00FC29CD"/>
    <w:rsid w:val="00FC4E81"/>
    <w:rsid w:val="00FC7435"/>
    <w:rsid w:val="00FC753E"/>
    <w:rsid w:val="00FD1B45"/>
    <w:rsid w:val="00FE78E7"/>
    <w:rsid w:val="00FE7B4C"/>
    <w:rsid w:val="00FF0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FF45"/>
  <w15:chartTrackingRefBased/>
  <w15:docId w15:val="{787D5544-E7FF-4501-8689-BD8AF74A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D504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5210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FB53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E3392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4C97"/>
    <w:pPr>
      <w:ind w:left="720"/>
      <w:contextualSpacing/>
    </w:pPr>
  </w:style>
  <w:style w:type="paragraph" w:styleId="DipnotMetni">
    <w:name w:val="footnote text"/>
    <w:basedOn w:val="Normal"/>
    <w:link w:val="DipnotMetniChar"/>
    <w:uiPriority w:val="99"/>
    <w:semiHidden/>
    <w:unhideWhenUsed/>
    <w:rsid w:val="00E0289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02898"/>
    <w:rPr>
      <w:sz w:val="20"/>
      <w:szCs w:val="20"/>
    </w:rPr>
  </w:style>
  <w:style w:type="character" w:styleId="DipnotBavurusu">
    <w:name w:val="footnote reference"/>
    <w:basedOn w:val="VarsaylanParagrafYazTipi"/>
    <w:uiPriority w:val="99"/>
    <w:semiHidden/>
    <w:unhideWhenUsed/>
    <w:rsid w:val="00E02898"/>
    <w:rPr>
      <w:vertAlign w:val="superscript"/>
    </w:rPr>
  </w:style>
  <w:style w:type="character" w:styleId="Kpr">
    <w:name w:val="Hyperlink"/>
    <w:basedOn w:val="VarsaylanParagrafYazTipi"/>
    <w:uiPriority w:val="99"/>
    <w:unhideWhenUsed/>
    <w:rsid w:val="00E02898"/>
    <w:rPr>
      <w:color w:val="0563C1" w:themeColor="hyperlink"/>
      <w:u w:val="single"/>
    </w:rPr>
  </w:style>
  <w:style w:type="character" w:customStyle="1" w:styleId="UnresolvedMention">
    <w:name w:val="Unresolved Mention"/>
    <w:basedOn w:val="VarsaylanParagrafYazTipi"/>
    <w:uiPriority w:val="99"/>
    <w:semiHidden/>
    <w:unhideWhenUsed/>
    <w:rsid w:val="00E02898"/>
    <w:rPr>
      <w:color w:val="605E5C"/>
      <w:shd w:val="clear" w:color="auto" w:fill="E1DFDD"/>
    </w:rPr>
  </w:style>
  <w:style w:type="paragraph" w:styleId="stBilgi">
    <w:name w:val="header"/>
    <w:basedOn w:val="Normal"/>
    <w:link w:val="stBilgiChar"/>
    <w:uiPriority w:val="99"/>
    <w:unhideWhenUsed/>
    <w:rsid w:val="00E848DD"/>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848DD"/>
  </w:style>
  <w:style w:type="paragraph" w:styleId="AltBilgi">
    <w:name w:val="footer"/>
    <w:basedOn w:val="Normal"/>
    <w:link w:val="AltBilgiChar"/>
    <w:uiPriority w:val="99"/>
    <w:unhideWhenUsed/>
    <w:rsid w:val="00E848DD"/>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848DD"/>
  </w:style>
  <w:style w:type="character" w:customStyle="1" w:styleId="Balk1Char">
    <w:name w:val="Başlık 1 Char"/>
    <w:basedOn w:val="VarsaylanParagrafYazTipi"/>
    <w:link w:val="Balk1"/>
    <w:uiPriority w:val="9"/>
    <w:rsid w:val="00D50480"/>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D50480"/>
    <w:pPr>
      <w:outlineLvl w:val="9"/>
    </w:pPr>
    <w:rPr>
      <w:kern w:val="0"/>
      <w14:ligatures w14:val="none"/>
    </w:rPr>
  </w:style>
  <w:style w:type="paragraph" w:styleId="T1">
    <w:name w:val="toc 1"/>
    <w:basedOn w:val="Normal"/>
    <w:next w:val="Normal"/>
    <w:autoRedefine/>
    <w:uiPriority w:val="39"/>
    <w:unhideWhenUsed/>
    <w:rsid w:val="00D50480"/>
    <w:pPr>
      <w:spacing w:after="100"/>
    </w:pPr>
  </w:style>
  <w:style w:type="paragraph" w:customStyle="1" w:styleId="Default">
    <w:name w:val="Default"/>
    <w:rsid w:val="003170DA"/>
    <w:pPr>
      <w:autoSpaceDE w:val="0"/>
      <w:autoSpaceDN w:val="0"/>
      <w:adjustRightInd w:val="0"/>
      <w:spacing w:after="0" w:line="240" w:lineRule="auto"/>
    </w:pPr>
    <w:rPr>
      <w:rFonts w:ascii="Calibri" w:hAnsi="Calibri" w:cs="Calibri"/>
      <w:color w:val="000000"/>
      <w:kern w:val="0"/>
      <w:sz w:val="24"/>
      <w:szCs w:val="24"/>
    </w:rPr>
  </w:style>
  <w:style w:type="character" w:customStyle="1" w:styleId="Balk2Char">
    <w:name w:val="Başlık 2 Char"/>
    <w:basedOn w:val="VarsaylanParagrafYazTipi"/>
    <w:link w:val="Balk2"/>
    <w:uiPriority w:val="9"/>
    <w:rsid w:val="0052106B"/>
    <w:rPr>
      <w:rFonts w:asciiTheme="majorHAnsi" w:eastAsiaTheme="majorEastAsia" w:hAnsiTheme="majorHAnsi" w:cstheme="majorBidi"/>
      <w:color w:val="2F5496" w:themeColor="accent1" w:themeShade="BF"/>
      <w:sz w:val="26"/>
      <w:szCs w:val="26"/>
    </w:rPr>
  </w:style>
  <w:style w:type="paragraph" w:styleId="T2">
    <w:name w:val="toc 2"/>
    <w:basedOn w:val="Normal"/>
    <w:next w:val="Normal"/>
    <w:autoRedefine/>
    <w:uiPriority w:val="39"/>
    <w:unhideWhenUsed/>
    <w:rsid w:val="0052106B"/>
    <w:pPr>
      <w:spacing w:after="100"/>
      <w:ind w:left="220"/>
    </w:pPr>
  </w:style>
  <w:style w:type="paragraph" w:styleId="KonuBal">
    <w:name w:val="Title"/>
    <w:basedOn w:val="Normal"/>
    <w:next w:val="Normal"/>
    <w:link w:val="KonuBalChar"/>
    <w:uiPriority w:val="10"/>
    <w:qFormat/>
    <w:rsid w:val="00EC68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C6873"/>
    <w:rPr>
      <w:rFonts w:asciiTheme="majorHAnsi" w:eastAsiaTheme="majorEastAsia" w:hAnsiTheme="majorHAnsi" w:cstheme="majorBidi"/>
      <w:spacing w:val="-10"/>
      <w:kern w:val="28"/>
      <w:sz w:val="56"/>
      <w:szCs w:val="56"/>
    </w:rPr>
  </w:style>
  <w:style w:type="character" w:customStyle="1" w:styleId="Balk3Char">
    <w:name w:val="Başlık 3 Char"/>
    <w:basedOn w:val="VarsaylanParagrafYazTipi"/>
    <w:link w:val="Balk3"/>
    <w:uiPriority w:val="9"/>
    <w:rsid w:val="00FB5304"/>
    <w:rPr>
      <w:rFonts w:asciiTheme="majorHAnsi" w:eastAsiaTheme="majorEastAsia" w:hAnsiTheme="majorHAnsi" w:cstheme="majorBidi"/>
      <w:color w:val="1F3763" w:themeColor="accent1" w:themeShade="7F"/>
      <w:sz w:val="24"/>
      <w:szCs w:val="24"/>
    </w:rPr>
  </w:style>
  <w:style w:type="paragraph" w:styleId="T3">
    <w:name w:val="toc 3"/>
    <w:basedOn w:val="Normal"/>
    <w:next w:val="Normal"/>
    <w:autoRedefine/>
    <w:uiPriority w:val="39"/>
    <w:unhideWhenUsed/>
    <w:rsid w:val="00A97F09"/>
    <w:pPr>
      <w:spacing w:after="100"/>
      <w:ind w:left="440"/>
    </w:pPr>
  </w:style>
  <w:style w:type="character" w:styleId="zlenenKpr">
    <w:name w:val="FollowedHyperlink"/>
    <w:basedOn w:val="VarsaylanParagrafYazTipi"/>
    <w:uiPriority w:val="99"/>
    <w:semiHidden/>
    <w:unhideWhenUsed/>
    <w:rsid w:val="00503EDA"/>
    <w:rPr>
      <w:color w:val="954F72" w:themeColor="followedHyperlink"/>
      <w:u w:val="single"/>
    </w:rPr>
  </w:style>
  <w:style w:type="table" w:styleId="TabloKlavuzu">
    <w:name w:val="Table Grid"/>
    <w:basedOn w:val="NormalTablo"/>
    <w:uiPriority w:val="39"/>
    <w:rsid w:val="0044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2B3662"/>
    <w:pPr>
      <w:spacing w:after="0" w:line="240" w:lineRule="auto"/>
    </w:pPr>
  </w:style>
  <w:style w:type="character" w:styleId="AklamaBavurusu">
    <w:name w:val="annotation reference"/>
    <w:basedOn w:val="VarsaylanParagrafYazTipi"/>
    <w:uiPriority w:val="99"/>
    <w:semiHidden/>
    <w:unhideWhenUsed/>
    <w:rsid w:val="00775769"/>
    <w:rPr>
      <w:sz w:val="16"/>
      <w:szCs w:val="16"/>
    </w:rPr>
  </w:style>
  <w:style w:type="paragraph" w:styleId="AklamaMetni">
    <w:name w:val="annotation text"/>
    <w:basedOn w:val="Normal"/>
    <w:link w:val="AklamaMetniChar"/>
    <w:uiPriority w:val="99"/>
    <w:unhideWhenUsed/>
    <w:rsid w:val="00775769"/>
    <w:pPr>
      <w:spacing w:line="240" w:lineRule="auto"/>
    </w:pPr>
    <w:rPr>
      <w:sz w:val="20"/>
      <w:szCs w:val="20"/>
    </w:rPr>
  </w:style>
  <w:style w:type="character" w:customStyle="1" w:styleId="AklamaMetniChar">
    <w:name w:val="Açıklama Metni Char"/>
    <w:basedOn w:val="VarsaylanParagrafYazTipi"/>
    <w:link w:val="AklamaMetni"/>
    <w:uiPriority w:val="99"/>
    <w:rsid w:val="00775769"/>
    <w:rPr>
      <w:sz w:val="20"/>
      <w:szCs w:val="20"/>
    </w:rPr>
  </w:style>
  <w:style w:type="paragraph" w:styleId="AklamaKonusu">
    <w:name w:val="annotation subject"/>
    <w:basedOn w:val="AklamaMetni"/>
    <w:next w:val="AklamaMetni"/>
    <w:link w:val="AklamaKonusuChar"/>
    <w:uiPriority w:val="99"/>
    <w:semiHidden/>
    <w:unhideWhenUsed/>
    <w:rsid w:val="00775769"/>
    <w:rPr>
      <w:b/>
      <w:bCs/>
    </w:rPr>
  </w:style>
  <w:style w:type="character" w:customStyle="1" w:styleId="AklamaKonusuChar">
    <w:name w:val="Açıklama Konusu Char"/>
    <w:basedOn w:val="AklamaMetniChar"/>
    <w:link w:val="AklamaKonusu"/>
    <w:uiPriority w:val="99"/>
    <w:semiHidden/>
    <w:rsid w:val="00775769"/>
    <w:rPr>
      <w:b/>
      <w:bCs/>
      <w:sz w:val="20"/>
      <w:szCs w:val="20"/>
    </w:rPr>
  </w:style>
  <w:style w:type="character" w:customStyle="1" w:styleId="Mention">
    <w:name w:val="Mention"/>
    <w:basedOn w:val="VarsaylanParagrafYazTipi"/>
    <w:uiPriority w:val="99"/>
    <w:unhideWhenUsed/>
    <w:rsid w:val="00704B6D"/>
    <w:rPr>
      <w:color w:val="2B579A"/>
      <w:shd w:val="clear" w:color="auto" w:fill="E1DFDD"/>
    </w:rPr>
  </w:style>
  <w:style w:type="character" w:customStyle="1" w:styleId="Balk4Char">
    <w:name w:val="Başlık 4 Char"/>
    <w:basedOn w:val="VarsaylanParagrafYazTipi"/>
    <w:link w:val="Balk4"/>
    <w:uiPriority w:val="9"/>
    <w:rsid w:val="00E3392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hedocs.worldbank.org/en/doc/ae0f8a5bf130bce9c3bf23f088a6c3a9-0290012024/original/PPSD-Procurement-Guidance-FINAL-Aug-24-WEB.pdf" TargetMode="External"/><Relationship Id="rId2" Type="http://schemas.openxmlformats.org/officeDocument/2006/relationships/hyperlink" Target="https://sgb.uab.gov.tr/uploads/pages/yayin-sunum-ve-tablolar/uab-2053-master-plan.pdf" TargetMode="External"/><Relationship Id="rId1" Type="http://schemas.openxmlformats.org/officeDocument/2006/relationships/hyperlink" Target="chrome-extension://efaidnbmnnnibpcajpcglclefindmkaj/https:/documents1.worldbank.org/curated/en/305601561046781065/pdf/Turkey-Country-Economic-Memorandum-Firm-Productivity-and-Economic-Growth.pdf" TargetMode="External"/><Relationship Id="rId4" Type="http://schemas.openxmlformats.org/officeDocument/2006/relationships/hyperlink" Target="https://thedocs.worldbank.org/en/doc/123601488224013672-0290022017/original/ProcurementPPSDShortFormFeb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199DF-F781-43FB-BE10-502090A08C55}">
  <ds:schemaRefs>
    <ds:schemaRef ds:uri="http://schemas.microsoft.com/sharepoint/v3/contenttype/forms"/>
  </ds:schemaRefs>
</ds:datastoreItem>
</file>

<file path=customXml/itemProps2.xml><?xml version="1.0" encoding="utf-8"?>
<ds:datastoreItem xmlns:ds="http://schemas.openxmlformats.org/officeDocument/2006/customXml" ds:itemID="{8913DE81-7D52-4C33-BD33-23D21B977F4C}">
  <ds:schemaRefs>
    <ds:schemaRef ds:uri="http://schemas.microsoft.com/office/2006/metadata/properties"/>
    <ds:schemaRef ds:uri="http://schemas.microsoft.com/office/infopath/2007/PartnerControls"/>
    <ds:schemaRef ds:uri="fddef6a8-5936-4909-96e0-2ad7a6b1720b"/>
  </ds:schemaRefs>
</ds:datastoreItem>
</file>

<file path=customXml/itemProps3.xml><?xml version="1.0" encoding="utf-8"?>
<ds:datastoreItem xmlns:ds="http://schemas.openxmlformats.org/officeDocument/2006/customXml" ds:itemID="{3466B9CE-35A3-4766-AD21-3668CAE53E37}"/>
</file>

<file path=customXml/itemProps4.xml><?xml version="1.0" encoding="utf-8"?>
<ds:datastoreItem xmlns:ds="http://schemas.openxmlformats.org/officeDocument/2006/customXml" ds:itemID="{F8229B98-CC5E-4609-8502-62A6CA52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5272</Words>
  <Characters>30052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35254</CharactersWithSpaces>
  <SharedDoc>false</SharedDoc>
  <HLinks>
    <vt:vector size="168" baseType="variant">
      <vt:variant>
        <vt:i4>1310770</vt:i4>
      </vt:variant>
      <vt:variant>
        <vt:i4>134</vt:i4>
      </vt:variant>
      <vt:variant>
        <vt:i4>0</vt:i4>
      </vt:variant>
      <vt:variant>
        <vt:i4>5</vt:i4>
      </vt:variant>
      <vt:variant>
        <vt:lpwstr/>
      </vt:variant>
      <vt:variant>
        <vt:lpwstr>_Toc184158229</vt:lpwstr>
      </vt:variant>
      <vt:variant>
        <vt:i4>1310770</vt:i4>
      </vt:variant>
      <vt:variant>
        <vt:i4>128</vt:i4>
      </vt:variant>
      <vt:variant>
        <vt:i4>0</vt:i4>
      </vt:variant>
      <vt:variant>
        <vt:i4>5</vt:i4>
      </vt:variant>
      <vt:variant>
        <vt:lpwstr/>
      </vt:variant>
      <vt:variant>
        <vt:lpwstr>_Toc184158228</vt:lpwstr>
      </vt:variant>
      <vt:variant>
        <vt:i4>1310770</vt:i4>
      </vt:variant>
      <vt:variant>
        <vt:i4>122</vt:i4>
      </vt:variant>
      <vt:variant>
        <vt:i4>0</vt:i4>
      </vt:variant>
      <vt:variant>
        <vt:i4>5</vt:i4>
      </vt:variant>
      <vt:variant>
        <vt:lpwstr/>
      </vt:variant>
      <vt:variant>
        <vt:lpwstr>_Toc184158227</vt:lpwstr>
      </vt:variant>
      <vt:variant>
        <vt:i4>1310770</vt:i4>
      </vt:variant>
      <vt:variant>
        <vt:i4>116</vt:i4>
      </vt:variant>
      <vt:variant>
        <vt:i4>0</vt:i4>
      </vt:variant>
      <vt:variant>
        <vt:i4>5</vt:i4>
      </vt:variant>
      <vt:variant>
        <vt:lpwstr/>
      </vt:variant>
      <vt:variant>
        <vt:lpwstr>_Toc184158226</vt:lpwstr>
      </vt:variant>
      <vt:variant>
        <vt:i4>1310770</vt:i4>
      </vt:variant>
      <vt:variant>
        <vt:i4>110</vt:i4>
      </vt:variant>
      <vt:variant>
        <vt:i4>0</vt:i4>
      </vt:variant>
      <vt:variant>
        <vt:i4>5</vt:i4>
      </vt:variant>
      <vt:variant>
        <vt:lpwstr/>
      </vt:variant>
      <vt:variant>
        <vt:lpwstr>_Toc184158225</vt:lpwstr>
      </vt:variant>
      <vt:variant>
        <vt:i4>1310770</vt:i4>
      </vt:variant>
      <vt:variant>
        <vt:i4>104</vt:i4>
      </vt:variant>
      <vt:variant>
        <vt:i4>0</vt:i4>
      </vt:variant>
      <vt:variant>
        <vt:i4>5</vt:i4>
      </vt:variant>
      <vt:variant>
        <vt:lpwstr/>
      </vt:variant>
      <vt:variant>
        <vt:lpwstr>_Toc184158224</vt:lpwstr>
      </vt:variant>
      <vt:variant>
        <vt:i4>1310770</vt:i4>
      </vt:variant>
      <vt:variant>
        <vt:i4>98</vt:i4>
      </vt:variant>
      <vt:variant>
        <vt:i4>0</vt:i4>
      </vt:variant>
      <vt:variant>
        <vt:i4>5</vt:i4>
      </vt:variant>
      <vt:variant>
        <vt:lpwstr/>
      </vt:variant>
      <vt:variant>
        <vt:lpwstr>_Toc184158223</vt:lpwstr>
      </vt:variant>
      <vt:variant>
        <vt:i4>1310770</vt:i4>
      </vt:variant>
      <vt:variant>
        <vt:i4>92</vt:i4>
      </vt:variant>
      <vt:variant>
        <vt:i4>0</vt:i4>
      </vt:variant>
      <vt:variant>
        <vt:i4>5</vt:i4>
      </vt:variant>
      <vt:variant>
        <vt:lpwstr/>
      </vt:variant>
      <vt:variant>
        <vt:lpwstr>_Toc184158222</vt:lpwstr>
      </vt:variant>
      <vt:variant>
        <vt:i4>1310770</vt:i4>
      </vt:variant>
      <vt:variant>
        <vt:i4>86</vt:i4>
      </vt:variant>
      <vt:variant>
        <vt:i4>0</vt:i4>
      </vt:variant>
      <vt:variant>
        <vt:i4>5</vt:i4>
      </vt:variant>
      <vt:variant>
        <vt:lpwstr/>
      </vt:variant>
      <vt:variant>
        <vt:lpwstr>_Toc184158221</vt:lpwstr>
      </vt:variant>
      <vt:variant>
        <vt:i4>1310770</vt:i4>
      </vt:variant>
      <vt:variant>
        <vt:i4>80</vt:i4>
      </vt:variant>
      <vt:variant>
        <vt:i4>0</vt:i4>
      </vt:variant>
      <vt:variant>
        <vt:i4>5</vt:i4>
      </vt:variant>
      <vt:variant>
        <vt:lpwstr/>
      </vt:variant>
      <vt:variant>
        <vt:lpwstr>_Toc184158220</vt:lpwstr>
      </vt:variant>
      <vt:variant>
        <vt:i4>1507378</vt:i4>
      </vt:variant>
      <vt:variant>
        <vt:i4>74</vt:i4>
      </vt:variant>
      <vt:variant>
        <vt:i4>0</vt:i4>
      </vt:variant>
      <vt:variant>
        <vt:i4>5</vt:i4>
      </vt:variant>
      <vt:variant>
        <vt:lpwstr/>
      </vt:variant>
      <vt:variant>
        <vt:lpwstr>_Toc184158219</vt:lpwstr>
      </vt:variant>
      <vt:variant>
        <vt:i4>1507378</vt:i4>
      </vt:variant>
      <vt:variant>
        <vt:i4>68</vt:i4>
      </vt:variant>
      <vt:variant>
        <vt:i4>0</vt:i4>
      </vt:variant>
      <vt:variant>
        <vt:i4>5</vt:i4>
      </vt:variant>
      <vt:variant>
        <vt:lpwstr/>
      </vt:variant>
      <vt:variant>
        <vt:lpwstr>_Toc184158218</vt:lpwstr>
      </vt:variant>
      <vt:variant>
        <vt:i4>1507378</vt:i4>
      </vt:variant>
      <vt:variant>
        <vt:i4>62</vt:i4>
      </vt:variant>
      <vt:variant>
        <vt:i4>0</vt:i4>
      </vt:variant>
      <vt:variant>
        <vt:i4>5</vt:i4>
      </vt:variant>
      <vt:variant>
        <vt:lpwstr/>
      </vt:variant>
      <vt:variant>
        <vt:lpwstr>_Toc184158217</vt:lpwstr>
      </vt:variant>
      <vt:variant>
        <vt:i4>1507378</vt:i4>
      </vt:variant>
      <vt:variant>
        <vt:i4>56</vt:i4>
      </vt:variant>
      <vt:variant>
        <vt:i4>0</vt:i4>
      </vt:variant>
      <vt:variant>
        <vt:i4>5</vt:i4>
      </vt:variant>
      <vt:variant>
        <vt:lpwstr/>
      </vt:variant>
      <vt:variant>
        <vt:lpwstr>_Toc184158216</vt:lpwstr>
      </vt:variant>
      <vt:variant>
        <vt:i4>1507378</vt:i4>
      </vt:variant>
      <vt:variant>
        <vt:i4>50</vt:i4>
      </vt:variant>
      <vt:variant>
        <vt:i4>0</vt:i4>
      </vt:variant>
      <vt:variant>
        <vt:i4>5</vt:i4>
      </vt:variant>
      <vt:variant>
        <vt:lpwstr/>
      </vt:variant>
      <vt:variant>
        <vt:lpwstr>_Toc184158215</vt:lpwstr>
      </vt:variant>
      <vt:variant>
        <vt:i4>1507378</vt:i4>
      </vt:variant>
      <vt:variant>
        <vt:i4>44</vt:i4>
      </vt:variant>
      <vt:variant>
        <vt:i4>0</vt:i4>
      </vt:variant>
      <vt:variant>
        <vt:i4>5</vt:i4>
      </vt:variant>
      <vt:variant>
        <vt:lpwstr/>
      </vt:variant>
      <vt:variant>
        <vt:lpwstr>_Toc184158214</vt:lpwstr>
      </vt:variant>
      <vt:variant>
        <vt:i4>1507378</vt:i4>
      </vt:variant>
      <vt:variant>
        <vt:i4>38</vt:i4>
      </vt:variant>
      <vt:variant>
        <vt:i4>0</vt:i4>
      </vt:variant>
      <vt:variant>
        <vt:i4>5</vt:i4>
      </vt:variant>
      <vt:variant>
        <vt:lpwstr/>
      </vt:variant>
      <vt:variant>
        <vt:lpwstr>_Toc184158213</vt:lpwstr>
      </vt:variant>
      <vt:variant>
        <vt:i4>1507378</vt:i4>
      </vt:variant>
      <vt:variant>
        <vt:i4>32</vt:i4>
      </vt:variant>
      <vt:variant>
        <vt:i4>0</vt:i4>
      </vt:variant>
      <vt:variant>
        <vt:i4>5</vt:i4>
      </vt:variant>
      <vt:variant>
        <vt:lpwstr/>
      </vt:variant>
      <vt:variant>
        <vt:lpwstr>_Toc184158212</vt:lpwstr>
      </vt:variant>
      <vt:variant>
        <vt:i4>1507378</vt:i4>
      </vt:variant>
      <vt:variant>
        <vt:i4>26</vt:i4>
      </vt:variant>
      <vt:variant>
        <vt:i4>0</vt:i4>
      </vt:variant>
      <vt:variant>
        <vt:i4>5</vt:i4>
      </vt:variant>
      <vt:variant>
        <vt:lpwstr/>
      </vt:variant>
      <vt:variant>
        <vt:lpwstr>_Toc184158211</vt:lpwstr>
      </vt:variant>
      <vt:variant>
        <vt:i4>1507378</vt:i4>
      </vt:variant>
      <vt:variant>
        <vt:i4>20</vt:i4>
      </vt:variant>
      <vt:variant>
        <vt:i4>0</vt:i4>
      </vt:variant>
      <vt:variant>
        <vt:i4>5</vt:i4>
      </vt:variant>
      <vt:variant>
        <vt:lpwstr/>
      </vt:variant>
      <vt:variant>
        <vt:lpwstr>_Toc184158210</vt:lpwstr>
      </vt:variant>
      <vt:variant>
        <vt:i4>1441842</vt:i4>
      </vt:variant>
      <vt:variant>
        <vt:i4>14</vt:i4>
      </vt:variant>
      <vt:variant>
        <vt:i4>0</vt:i4>
      </vt:variant>
      <vt:variant>
        <vt:i4>5</vt:i4>
      </vt:variant>
      <vt:variant>
        <vt:lpwstr/>
      </vt:variant>
      <vt:variant>
        <vt:lpwstr>_Toc184158209</vt:lpwstr>
      </vt:variant>
      <vt:variant>
        <vt:i4>1441842</vt:i4>
      </vt:variant>
      <vt:variant>
        <vt:i4>8</vt:i4>
      </vt:variant>
      <vt:variant>
        <vt:i4>0</vt:i4>
      </vt:variant>
      <vt:variant>
        <vt:i4>5</vt:i4>
      </vt:variant>
      <vt:variant>
        <vt:lpwstr/>
      </vt:variant>
      <vt:variant>
        <vt:lpwstr>_Toc184158208</vt:lpwstr>
      </vt:variant>
      <vt:variant>
        <vt:i4>1441842</vt:i4>
      </vt:variant>
      <vt:variant>
        <vt:i4>2</vt:i4>
      </vt:variant>
      <vt:variant>
        <vt:i4>0</vt:i4>
      </vt:variant>
      <vt:variant>
        <vt:i4>5</vt:i4>
      </vt:variant>
      <vt:variant>
        <vt:lpwstr/>
      </vt:variant>
      <vt:variant>
        <vt:lpwstr>_Toc184158207</vt:lpwstr>
      </vt:variant>
      <vt:variant>
        <vt:i4>6488175</vt:i4>
      </vt:variant>
      <vt:variant>
        <vt:i4>9</vt:i4>
      </vt:variant>
      <vt:variant>
        <vt:i4>0</vt:i4>
      </vt:variant>
      <vt:variant>
        <vt:i4>5</vt:i4>
      </vt:variant>
      <vt:variant>
        <vt:lpwstr>https://thedocs.worldbank.org/en/doc/123601488224013672-0290022017/original/ProcurementPPSDShortFormFeb2017.pdf</vt:lpwstr>
      </vt:variant>
      <vt:variant>
        <vt:lpwstr/>
      </vt:variant>
      <vt:variant>
        <vt:i4>2031623</vt:i4>
      </vt:variant>
      <vt:variant>
        <vt:i4>6</vt:i4>
      </vt:variant>
      <vt:variant>
        <vt:i4>0</vt:i4>
      </vt:variant>
      <vt:variant>
        <vt:i4>5</vt:i4>
      </vt:variant>
      <vt:variant>
        <vt:lpwstr>https://thedocs.worldbank.org/en/doc/ae0f8a5bf130bce9c3bf23f088a6c3a9-0290012024/original/PPSD-Procurement-Guidance-FINAL-Aug-24-WEB.pdf</vt:lpwstr>
      </vt:variant>
      <vt:variant>
        <vt:lpwstr/>
      </vt:variant>
      <vt:variant>
        <vt:i4>1835074</vt:i4>
      </vt:variant>
      <vt:variant>
        <vt:i4>3</vt:i4>
      </vt:variant>
      <vt:variant>
        <vt:i4>0</vt:i4>
      </vt:variant>
      <vt:variant>
        <vt:i4>5</vt:i4>
      </vt:variant>
      <vt:variant>
        <vt:lpwstr>https://sgb.uab.gov.tr/uploads/pages/yayin-sunum-ve-tablolar/uab-2053-master-plan.pdf</vt:lpwstr>
      </vt:variant>
      <vt:variant>
        <vt:lpwstr/>
      </vt:variant>
      <vt:variant>
        <vt:i4>3670056</vt:i4>
      </vt:variant>
      <vt:variant>
        <vt:i4>0</vt:i4>
      </vt:variant>
      <vt:variant>
        <vt:i4>0</vt:i4>
      </vt:variant>
      <vt:variant>
        <vt:i4>5</vt:i4>
      </vt:variant>
      <vt:variant>
        <vt:lpwstr>chrome-extension://efaidnbmnnnibpcajpcglclefindmkaj/https:/documents1.worldbank.org/curated/en/305601561046781065/pdf/Turkey-Country-Economic-Memorandum-Firm-Productivity-and-Economic-Growth.pdf</vt:lpwstr>
      </vt:variant>
      <vt:variant>
        <vt:lpwstr/>
      </vt:variant>
      <vt:variant>
        <vt:i4>6291535</vt:i4>
      </vt:variant>
      <vt:variant>
        <vt:i4>0</vt:i4>
      </vt:variant>
      <vt:variant>
        <vt:i4>0</vt:i4>
      </vt:variant>
      <vt:variant>
        <vt:i4>5</vt:i4>
      </vt:variant>
      <vt:variant>
        <vt:lpwstr>mailto:plam@worldbank.org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Blancas</dc:creator>
  <cp:keywords/>
  <dc:description/>
  <cp:lastModifiedBy>Ali Kemal Yaylacı</cp:lastModifiedBy>
  <cp:revision>5</cp:revision>
  <dcterms:created xsi:type="dcterms:W3CDTF">2025-01-28T19:23:00Z</dcterms:created>
  <dcterms:modified xsi:type="dcterms:W3CDTF">2025-04-09T07:41:00Z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